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A8" w:rsidRDefault="003870A8">
      <w:pPr>
        <w:spacing w:line="240" w:lineRule="auto"/>
        <w:jc w:val="left"/>
        <w:rPr>
          <w:sz w:val="2"/>
          <w:szCs w:val="2"/>
        </w:rPr>
      </w:pPr>
    </w:p>
    <w:p w:rsidR="003870A8" w:rsidRDefault="003870A8">
      <w:pPr>
        <w:spacing w:line="240" w:lineRule="auto"/>
        <w:jc w:val="left"/>
        <w:rPr>
          <w:sz w:val="2"/>
          <w:szCs w:val="2"/>
        </w:rPr>
      </w:pPr>
    </w:p>
    <w:tbl>
      <w:tblPr>
        <w:tblpPr w:leftFromText="142" w:rightFromText="142" w:vertAnchor="text" w:horzAnchor="margin" w:tblpY="-35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70" w:type="dxa"/>
          <w:left w:w="198" w:type="dxa"/>
          <w:bottom w:w="170" w:type="dxa"/>
          <w:right w:w="198" w:type="dxa"/>
        </w:tblCellMar>
        <w:tblLook w:val="04A0" w:firstRow="1" w:lastRow="0" w:firstColumn="1" w:lastColumn="0" w:noHBand="0" w:noVBand="1"/>
      </w:tblPr>
      <w:tblGrid>
        <w:gridCol w:w="10411"/>
      </w:tblGrid>
      <w:tr w:rsidR="003870A8">
        <w:trPr>
          <w:trHeight w:val="1542"/>
        </w:trPr>
        <w:tc>
          <w:tcPr>
            <w:tcW w:w="10411" w:type="dxa"/>
            <w:shd w:val="pct10" w:color="000000" w:fill="auto"/>
            <w:vAlign w:val="center"/>
          </w:tcPr>
          <w:p w:rsidR="003870A8" w:rsidRDefault="003A57F4">
            <w:pPr>
              <w:spacing w:after="0"/>
              <w:ind w:firstLineChars="35" w:firstLine="98"/>
              <w:rPr>
                <w:b/>
                <w:sz w:val="28"/>
                <w:szCs w:val="28"/>
              </w:rPr>
            </w:pPr>
            <w:r>
              <w:rPr>
                <w:rFonts w:hint="eastAsia"/>
                <w:b/>
                <w:sz w:val="28"/>
                <w:szCs w:val="28"/>
              </w:rPr>
              <w:t xml:space="preserve">보도자료 </w:t>
            </w:r>
            <w:r>
              <w:rPr>
                <w:b/>
                <w:sz w:val="28"/>
                <w:szCs w:val="28"/>
              </w:rPr>
              <w:t xml:space="preserve">– </w:t>
            </w:r>
            <w:proofErr w:type="spellStart"/>
            <w:r>
              <w:rPr>
                <w:rFonts w:hint="eastAsia"/>
                <w:b/>
                <w:sz w:val="28"/>
                <w:szCs w:val="28"/>
              </w:rPr>
              <w:t>차바이오그룹</w:t>
            </w:r>
            <w:proofErr w:type="spellEnd"/>
          </w:p>
          <w:p w:rsidR="003870A8" w:rsidRDefault="003A57F4">
            <w:pPr>
              <w:spacing w:after="0"/>
              <w:ind w:firstLineChars="55" w:firstLine="99"/>
              <w:rPr>
                <w:b/>
                <w:sz w:val="18"/>
                <w:szCs w:val="18"/>
              </w:rPr>
            </w:pPr>
            <w:proofErr w:type="spellStart"/>
            <w:r>
              <w:rPr>
                <w:b/>
                <w:sz w:val="18"/>
                <w:szCs w:val="18"/>
              </w:rPr>
              <w:t>홍보</w:t>
            </w:r>
            <w:r>
              <w:rPr>
                <w:rFonts w:hint="eastAsia"/>
                <w:b/>
                <w:sz w:val="18"/>
                <w:szCs w:val="18"/>
              </w:rPr>
              <w:t>본부</w:t>
            </w:r>
            <w:proofErr w:type="spellEnd"/>
            <w:r>
              <w:rPr>
                <w:rFonts w:hint="eastAsia"/>
                <w:b/>
                <w:sz w:val="18"/>
                <w:szCs w:val="18"/>
              </w:rPr>
              <w:t xml:space="preserve"> | 경기 성남시 분당구 판교로 335 |</w:t>
            </w:r>
            <w:r>
              <w:rPr>
                <w:b/>
                <w:sz w:val="18"/>
                <w:szCs w:val="18"/>
              </w:rPr>
              <w:t xml:space="preserve"> www.chamc.co.kr</w:t>
            </w:r>
          </w:p>
          <w:p w:rsidR="003870A8" w:rsidRDefault="003A57F4">
            <w:pPr>
              <w:spacing w:after="0"/>
              <w:ind w:firstLine="162"/>
              <w:rPr>
                <w:w w:val="90"/>
                <w:sz w:val="18"/>
                <w:szCs w:val="18"/>
              </w:rPr>
            </w:pPr>
            <w:r>
              <w:rPr>
                <w:rFonts w:hint="eastAsia"/>
                <w:w w:val="90"/>
                <w:sz w:val="18"/>
                <w:szCs w:val="18"/>
              </w:rPr>
              <w:t>이영호</w:t>
            </w:r>
            <w:r>
              <w:rPr>
                <w:w w:val="90"/>
                <w:sz w:val="18"/>
                <w:szCs w:val="18"/>
              </w:rPr>
              <w:t xml:space="preserve"> </w:t>
            </w:r>
            <w:r>
              <w:rPr>
                <w:rFonts w:hint="eastAsia"/>
                <w:w w:val="90"/>
                <w:sz w:val="18"/>
                <w:szCs w:val="18"/>
              </w:rPr>
              <w:t>차</w:t>
            </w:r>
            <w:r>
              <w:rPr>
                <w:w w:val="90"/>
                <w:sz w:val="18"/>
                <w:szCs w:val="18"/>
              </w:rPr>
              <w:t xml:space="preserve">장 031-881-7903 / 010-9148-3578 | </w:t>
            </w:r>
            <w:proofErr w:type="spellStart"/>
            <w:r>
              <w:rPr>
                <w:w w:val="90"/>
                <w:sz w:val="18"/>
                <w:szCs w:val="18"/>
              </w:rPr>
              <w:t>김우균</w:t>
            </w:r>
            <w:proofErr w:type="spellEnd"/>
            <w:r>
              <w:rPr>
                <w:w w:val="90"/>
                <w:sz w:val="18"/>
                <w:szCs w:val="18"/>
              </w:rPr>
              <w:t xml:space="preserve"> </w:t>
            </w:r>
            <w:r>
              <w:rPr>
                <w:rFonts w:hint="eastAsia"/>
                <w:w w:val="90"/>
                <w:sz w:val="18"/>
                <w:szCs w:val="18"/>
              </w:rPr>
              <w:t>대리</w:t>
            </w:r>
            <w:r>
              <w:rPr>
                <w:w w:val="90"/>
                <w:sz w:val="18"/>
                <w:szCs w:val="18"/>
              </w:rPr>
              <w:t xml:space="preserve"> 031-881-7905 / 010-9591-9619</w:t>
            </w:r>
          </w:p>
          <w:p w:rsidR="003870A8" w:rsidRDefault="003A57F4">
            <w:pPr>
              <w:spacing w:after="0"/>
              <w:ind w:firstLine="162"/>
              <w:rPr>
                <w:w w:val="90"/>
                <w:sz w:val="18"/>
                <w:szCs w:val="18"/>
              </w:rPr>
            </w:pPr>
            <w:r>
              <w:rPr>
                <w:rFonts w:hint="eastAsia"/>
                <w:w w:val="90"/>
                <w:sz w:val="18"/>
                <w:szCs w:val="18"/>
              </w:rPr>
              <w:t>최미영</w:t>
            </w:r>
            <w:r>
              <w:rPr>
                <w:w w:val="90"/>
                <w:sz w:val="18"/>
                <w:szCs w:val="18"/>
              </w:rPr>
              <w:t xml:space="preserve"> 팀장 031-881-7901 / 010-8732-4429</w:t>
            </w:r>
          </w:p>
        </w:tc>
      </w:tr>
    </w:tbl>
    <w:tbl>
      <w:tblPr>
        <w:tblW w:w="0" w:type="auto"/>
        <w:tblBorders>
          <w:top w:val="single" w:sz="18" w:space="0" w:color="0C6DFC"/>
          <w:bottom w:val="single" w:sz="18" w:space="0" w:color="0C6DFC"/>
        </w:tblBorders>
        <w:tblCellMar>
          <w:top w:w="397" w:type="dxa"/>
          <w:left w:w="0" w:type="dxa"/>
          <w:bottom w:w="397" w:type="dxa"/>
          <w:right w:w="0" w:type="dxa"/>
        </w:tblCellMar>
        <w:tblLook w:val="04A0" w:firstRow="1" w:lastRow="0" w:firstColumn="1" w:lastColumn="0" w:noHBand="0" w:noVBand="1"/>
      </w:tblPr>
      <w:tblGrid>
        <w:gridCol w:w="10284"/>
      </w:tblGrid>
      <w:tr w:rsidR="003870A8">
        <w:trPr>
          <w:trHeight w:val="960"/>
        </w:trPr>
        <w:tc>
          <w:tcPr>
            <w:tcW w:w="10284" w:type="dxa"/>
            <w:shd w:val="pct5" w:color="76C2F6" w:fill="auto"/>
            <w:tcMar>
              <w:left w:w="108" w:type="dxa"/>
              <w:right w:w="108" w:type="dxa"/>
            </w:tcMar>
            <w:vAlign w:val="center"/>
          </w:tcPr>
          <w:p w:rsidR="003870A8" w:rsidRDefault="003A57F4">
            <w:pPr>
              <w:spacing w:after="0" w:line="275" w:lineRule="auto"/>
              <w:jc w:val="center"/>
              <w:rPr>
                <w:rFonts w:cs="Arial"/>
                <w:b/>
                <w:sz w:val="32"/>
                <w:szCs w:val="32"/>
              </w:rPr>
            </w:pPr>
            <w:proofErr w:type="spellStart"/>
            <w:r>
              <w:rPr>
                <w:rFonts w:cs="Arial" w:hint="eastAsia"/>
                <w:b/>
                <w:sz w:val="32"/>
                <w:szCs w:val="32"/>
              </w:rPr>
              <w:t>차바이오텍</w:t>
            </w:r>
            <w:proofErr w:type="spellEnd"/>
            <w:r>
              <w:rPr>
                <w:rFonts w:cs="Arial" w:hint="eastAsia"/>
                <w:b/>
                <w:sz w:val="32"/>
                <w:szCs w:val="32"/>
              </w:rPr>
              <w:t xml:space="preserve"> </w:t>
            </w:r>
            <w:r>
              <w:rPr>
                <w:rFonts w:cs="Arial"/>
                <w:b/>
                <w:sz w:val="32"/>
                <w:szCs w:val="32"/>
              </w:rPr>
              <w:t>美</w:t>
            </w:r>
            <w:r>
              <w:rPr>
                <w:rFonts w:cs="Arial" w:hint="eastAsia"/>
                <w:b/>
                <w:sz w:val="32"/>
                <w:szCs w:val="32"/>
              </w:rPr>
              <w:t xml:space="preserve"> 자회사 「</w:t>
            </w:r>
            <w:proofErr w:type="spellStart"/>
            <w:r>
              <w:rPr>
                <w:rFonts w:cs="Arial" w:hint="eastAsia"/>
                <w:b/>
                <w:sz w:val="32"/>
                <w:szCs w:val="32"/>
              </w:rPr>
              <w:t>마티카</w:t>
            </w:r>
            <w:proofErr w:type="spellEnd"/>
            <w:r>
              <w:rPr>
                <w:rFonts w:cs="Arial" w:hint="eastAsia"/>
                <w:b/>
                <w:sz w:val="32"/>
                <w:szCs w:val="32"/>
              </w:rPr>
              <w:t xml:space="preserve"> 바이오테크놀로지」</w:t>
            </w:r>
          </w:p>
          <w:p w:rsidR="003870A8" w:rsidRDefault="003A57F4">
            <w:pPr>
              <w:spacing w:after="0" w:line="275" w:lineRule="auto"/>
              <w:jc w:val="center"/>
              <w:rPr>
                <w:rFonts w:cs="Arial"/>
                <w:b/>
                <w:sz w:val="36"/>
                <w:szCs w:val="36"/>
              </w:rPr>
            </w:pPr>
            <w:r>
              <w:rPr>
                <w:rFonts w:cs="Arial" w:hint="eastAsia"/>
                <w:b/>
                <w:sz w:val="36"/>
                <w:szCs w:val="36"/>
              </w:rPr>
              <w:t xml:space="preserve">美 </w:t>
            </w:r>
            <w:proofErr w:type="spellStart"/>
            <w:r>
              <w:rPr>
                <w:rFonts w:cs="Arial" w:hint="eastAsia"/>
                <w:b/>
                <w:sz w:val="36"/>
                <w:szCs w:val="36"/>
              </w:rPr>
              <w:t>생물보안법</w:t>
            </w:r>
            <w:proofErr w:type="spellEnd"/>
            <w:r>
              <w:rPr>
                <w:rFonts w:cs="Arial" w:hint="eastAsia"/>
                <w:b/>
                <w:sz w:val="36"/>
                <w:szCs w:val="36"/>
              </w:rPr>
              <w:t xml:space="preserve"> </w:t>
            </w:r>
            <w:proofErr w:type="gramStart"/>
            <w:r>
              <w:rPr>
                <w:rFonts w:cs="Arial" w:hint="eastAsia"/>
                <w:b/>
                <w:sz w:val="36"/>
                <w:szCs w:val="36"/>
              </w:rPr>
              <w:t>수혜</w:t>
            </w:r>
            <w:r w:rsidR="004A6F6B">
              <w:rPr>
                <w:rFonts w:cs="Arial"/>
                <w:b/>
                <w:sz w:val="36"/>
                <w:szCs w:val="36"/>
              </w:rPr>
              <w:t>…</w:t>
            </w:r>
            <w:proofErr w:type="gramEnd"/>
            <w:r w:rsidR="004A6F6B">
              <w:rPr>
                <w:rFonts w:cs="Arial"/>
                <w:b/>
                <w:sz w:val="36"/>
                <w:szCs w:val="36"/>
              </w:rPr>
              <w:t xml:space="preserve"> </w:t>
            </w:r>
            <w:r>
              <w:rPr>
                <w:rFonts w:cs="Arial"/>
                <w:b/>
                <w:sz w:val="36"/>
                <w:szCs w:val="36"/>
              </w:rPr>
              <w:t>美 2공장 확장 계획</w:t>
            </w:r>
          </w:p>
          <w:p w:rsidR="003870A8" w:rsidRDefault="003A57F4">
            <w:pPr>
              <w:pStyle w:val="a4"/>
              <w:numPr>
                <w:ilvl w:val="0"/>
                <w:numId w:val="1"/>
              </w:numPr>
              <w:spacing w:line="240" w:lineRule="auto"/>
              <w:ind w:leftChars="0" w:left="56" w:firstLine="220"/>
              <w:rPr>
                <w:b/>
                <w:sz w:val="22"/>
                <w:szCs w:val="22"/>
              </w:rPr>
            </w:pPr>
            <w:r>
              <w:rPr>
                <w:rFonts w:hint="eastAsia"/>
                <w:b/>
                <w:sz w:val="22"/>
                <w:szCs w:val="22"/>
              </w:rPr>
              <w:t xml:space="preserve"> 5개 사이트 글로벌 CGT CDMO 네트워크 구축, CGT 개발 기업의 글로벌 진출 지원</w:t>
            </w:r>
          </w:p>
          <w:p w:rsidR="003870A8" w:rsidRDefault="003A57F4" w:rsidP="004A6F6B">
            <w:pPr>
              <w:pStyle w:val="a4"/>
              <w:numPr>
                <w:ilvl w:val="0"/>
                <w:numId w:val="1"/>
              </w:numPr>
              <w:spacing w:line="240" w:lineRule="auto"/>
              <w:ind w:leftChars="0" w:left="56" w:firstLine="220"/>
              <w:rPr>
                <w:b/>
                <w:sz w:val="22"/>
                <w:szCs w:val="22"/>
              </w:rPr>
            </w:pPr>
            <w:r>
              <w:rPr>
                <w:rFonts w:hint="eastAsia"/>
                <w:b/>
                <w:sz w:val="22"/>
                <w:szCs w:val="22"/>
              </w:rPr>
              <w:t xml:space="preserve"> 개정된 </w:t>
            </w:r>
            <w:proofErr w:type="spellStart"/>
            <w:r>
              <w:rPr>
                <w:rFonts w:hint="eastAsia"/>
                <w:b/>
                <w:sz w:val="22"/>
                <w:szCs w:val="22"/>
              </w:rPr>
              <w:t>첨생법</w:t>
            </w:r>
            <w:proofErr w:type="spellEnd"/>
            <w:r>
              <w:rPr>
                <w:rFonts w:hint="eastAsia"/>
                <w:b/>
                <w:sz w:val="22"/>
                <w:szCs w:val="22"/>
              </w:rPr>
              <w:t xml:space="preserve"> 시행</w:t>
            </w:r>
            <w:r w:rsidR="004A6F6B">
              <w:rPr>
                <w:rFonts w:hint="eastAsia"/>
                <w:b/>
                <w:sz w:val="22"/>
                <w:szCs w:val="22"/>
              </w:rPr>
              <w:t xml:space="preserve">으로 </w:t>
            </w:r>
            <w:r w:rsidR="008B2EE1">
              <w:rPr>
                <w:rFonts w:hint="eastAsia"/>
                <w:b/>
                <w:sz w:val="22"/>
                <w:szCs w:val="22"/>
              </w:rPr>
              <w:t xml:space="preserve">국내 </w:t>
            </w:r>
            <w:r>
              <w:rPr>
                <w:b/>
                <w:sz w:val="22"/>
                <w:szCs w:val="22"/>
              </w:rPr>
              <w:t xml:space="preserve">CGT CDMO </w:t>
            </w:r>
            <w:r>
              <w:rPr>
                <w:rFonts w:hint="eastAsia"/>
                <w:b/>
                <w:sz w:val="22"/>
                <w:szCs w:val="22"/>
              </w:rPr>
              <w:t>사업 매출 확대</w:t>
            </w:r>
            <w:r w:rsidR="004A6F6B">
              <w:rPr>
                <w:rFonts w:hint="eastAsia"/>
                <w:b/>
                <w:sz w:val="22"/>
                <w:szCs w:val="22"/>
              </w:rPr>
              <w:t xml:space="preserve"> 기대</w:t>
            </w:r>
          </w:p>
        </w:tc>
      </w:tr>
    </w:tbl>
    <w:p w:rsidR="003870A8" w:rsidRDefault="003870A8">
      <w:pPr>
        <w:pStyle w:val="a3"/>
        <w:spacing w:line="240" w:lineRule="auto"/>
        <w:ind w:firstLine="220"/>
        <w:rPr>
          <w:sz w:val="22"/>
          <w:szCs w:val="22"/>
        </w:rPr>
      </w:pPr>
    </w:p>
    <w:p w:rsidR="003870A8" w:rsidRDefault="003A57F4">
      <w:pPr>
        <w:spacing w:after="0" w:line="240" w:lineRule="auto"/>
        <w:rPr>
          <w:sz w:val="22"/>
          <w:szCs w:val="22"/>
        </w:rPr>
      </w:pPr>
      <w:proofErr w:type="spellStart"/>
      <w:r>
        <w:rPr>
          <w:rFonts w:hint="eastAsia"/>
          <w:sz w:val="22"/>
          <w:szCs w:val="22"/>
        </w:rPr>
        <w:t>차바이오텍</w:t>
      </w:r>
      <w:proofErr w:type="spellEnd"/>
      <w:r>
        <w:rPr>
          <w:sz w:val="22"/>
          <w:szCs w:val="22"/>
        </w:rPr>
        <w:t>(085660)의 미국 자회사인 ‘</w:t>
      </w:r>
      <w:proofErr w:type="spellStart"/>
      <w:r>
        <w:rPr>
          <w:sz w:val="22"/>
          <w:szCs w:val="22"/>
        </w:rPr>
        <w:t>마티카</w:t>
      </w:r>
      <w:proofErr w:type="spellEnd"/>
      <w:r>
        <w:rPr>
          <w:sz w:val="22"/>
          <w:szCs w:val="22"/>
        </w:rPr>
        <w:t xml:space="preserve"> 바이오테크놀로지(</w:t>
      </w:r>
      <w:proofErr w:type="spellStart"/>
      <w:r>
        <w:rPr>
          <w:sz w:val="22"/>
          <w:szCs w:val="22"/>
        </w:rPr>
        <w:t>Matica</w:t>
      </w:r>
      <w:proofErr w:type="spellEnd"/>
      <w:r>
        <w:rPr>
          <w:sz w:val="22"/>
          <w:szCs w:val="22"/>
        </w:rPr>
        <w:t xml:space="preserve"> Biotechnology Inc., 이하 </w:t>
      </w:r>
      <w:proofErr w:type="spellStart"/>
      <w:r>
        <w:rPr>
          <w:sz w:val="22"/>
          <w:szCs w:val="22"/>
        </w:rPr>
        <w:t>마티카</w:t>
      </w:r>
      <w:proofErr w:type="spellEnd"/>
      <w:r>
        <w:rPr>
          <w:sz w:val="22"/>
          <w:szCs w:val="22"/>
        </w:rPr>
        <w:t xml:space="preserve"> 바이오)’</w:t>
      </w:r>
      <w:r>
        <w:rPr>
          <w:rFonts w:hint="eastAsia"/>
          <w:sz w:val="22"/>
          <w:szCs w:val="22"/>
        </w:rPr>
        <w:t>가 본격적인 CGT</w:t>
      </w:r>
      <w:r>
        <w:rPr>
          <w:sz w:val="22"/>
          <w:szCs w:val="22"/>
        </w:rPr>
        <w:t xml:space="preserve"> CDMO </w:t>
      </w:r>
      <w:r>
        <w:rPr>
          <w:rFonts w:hint="eastAsia"/>
          <w:sz w:val="22"/>
          <w:szCs w:val="22"/>
        </w:rPr>
        <w:t xml:space="preserve">수주 확대에 나서고 있다. </w:t>
      </w:r>
    </w:p>
    <w:p w:rsidR="003870A8" w:rsidRDefault="003870A8">
      <w:pPr>
        <w:spacing w:after="0" w:line="240" w:lineRule="auto"/>
        <w:rPr>
          <w:sz w:val="22"/>
          <w:szCs w:val="22"/>
        </w:rPr>
      </w:pPr>
      <w:bookmarkStart w:id="0" w:name="_GoBack"/>
      <w:bookmarkEnd w:id="0"/>
    </w:p>
    <w:p w:rsidR="003870A8" w:rsidRDefault="003A57F4">
      <w:pPr>
        <w:spacing w:after="0" w:line="240" w:lineRule="auto"/>
        <w:rPr>
          <w:sz w:val="22"/>
          <w:szCs w:val="22"/>
        </w:rPr>
      </w:pPr>
      <w:r>
        <w:rPr>
          <w:rFonts w:hint="eastAsia"/>
          <w:sz w:val="22"/>
          <w:szCs w:val="22"/>
        </w:rPr>
        <w:t xml:space="preserve">폴 김(Paul Kim) </w:t>
      </w:r>
      <w:proofErr w:type="spellStart"/>
      <w:r>
        <w:rPr>
          <w:rFonts w:hint="eastAsia"/>
          <w:sz w:val="22"/>
          <w:szCs w:val="22"/>
        </w:rPr>
        <w:t>마티카</w:t>
      </w:r>
      <w:proofErr w:type="spellEnd"/>
      <w:r>
        <w:rPr>
          <w:rFonts w:hint="eastAsia"/>
          <w:sz w:val="22"/>
          <w:szCs w:val="22"/>
        </w:rPr>
        <w:t xml:space="preserve"> 바이오 대표는 4일(현지시간) 미국 샌디에이고에서 세계 최대 규모 </w:t>
      </w:r>
      <w:proofErr w:type="spellStart"/>
      <w:r>
        <w:rPr>
          <w:rFonts w:hint="eastAsia"/>
          <w:sz w:val="22"/>
          <w:szCs w:val="22"/>
        </w:rPr>
        <w:t>제약·바이오</w:t>
      </w:r>
      <w:proofErr w:type="spellEnd"/>
      <w:r>
        <w:rPr>
          <w:rFonts w:hint="eastAsia"/>
          <w:sz w:val="22"/>
          <w:szCs w:val="22"/>
        </w:rPr>
        <w:t xml:space="preserve"> 박람회인 ‘바이오 인터내셔널 컨벤션’(바이오 USA) 기자간담회에서 “글로벌 </w:t>
      </w:r>
      <w:proofErr w:type="spellStart"/>
      <w:r>
        <w:rPr>
          <w:rFonts w:hint="eastAsia"/>
          <w:sz w:val="22"/>
          <w:szCs w:val="22"/>
        </w:rPr>
        <w:t>세포·유전자치료제</w:t>
      </w:r>
      <w:proofErr w:type="spellEnd"/>
      <w:r>
        <w:rPr>
          <w:rFonts w:hint="eastAsia"/>
          <w:sz w:val="22"/>
          <w:szCs w:val="22"/>
        </w:rPr>
        <w:t xml:space="preserve">(CGT) 수요가 급증하고 있어 관련 CDMO 시장이 큰 폭으로 성장할 전망이고, 미국 정부가 추진 중인 </w:t>
      </w:r>
      <w:proofErr w:type="spellStart"/>
      <w:r>
        <w:rPr>
          <w:rFonts w:hint="eastAsia"/>
          <w:sz w:val="22"/>
          <w:szCs w:val="22"/>
        </w:rPr>
        <w:t>생물보안법</w:t>
      </w:r>
      <w:proofErr w:type="spellEnd"/>
      <w:r>
        <w:rPr>
          <w:rFonts w:hint="eastAsia"/>
          <w:sz w:val="22"/>
          <w:szCs w:val="22"/>
        </w:rPr>
        <w:t>(</w:t>
      </w:r>
      <w:proofErr w:type="spellStart"/>
      <w:r>
        <w:rPr>
          <w:rFonts w:hint="eastAsia"/>
          <w:sz w:val="22"/>
          <w:szCs w:val="22"/>
        </w:rPr>
        <w:t>Biosecure</w:t>
      </w:r>
      <w:proofErr w:type="spellEnd"/>
      <w:r>
        <w:rPr>
          <w:rFonts w:hint="eastAsia"/>
          <w:sz w:val="22"/>
          <w:szCs w:val="22"/>
        </w:rPr>
        <w:t xml:space="preserve"> Act)의 영향으로 </w:t>
      </w:r>
      <w:proofErr w:type="spellStart"/>
      <w:r>
        <w:rPr>
          <w:rFonts w:hint="eastAsia"/>
          <w:sz w:val="22"/>
          <w:szCs w:val="22"/>
        </w:rPr>
        <w:t>마티카</w:t>
      </w:r>
      <w:proofErr w:type="spellEnd"/>
      <w:r>
        <w:rPr>
          <w:rFonts w:hint="eastAsia"/>
          <w:sz w:val="22"/>
          <w:szCs w:val="22"/>
        </w:rPr>
        <w:t xml:space="preserve"> </w:t>
      </w:r>
      <w:proofErr w:type="spellStart"/>
      <w:r>
        <w:rPr>
          <w:rFonts w:hint="eastAsia"/>
          <w:sz w:val="22"/>
          <w:szCs w:val="22"/>
        </w:rPr>
        <w:t>바이오의</w:t>
      </w:r>
      <w:proofErr w:type="spellEnd"/>
      <w:r>
        <w:rPr>
          <w:rFonts w:hint="eastAsia"/>
          <w:sz w:val="22"/>
          <w:szCs w:val="22"/>
        </w:rPr>
        <w:t xml:space="preserve"> 매출이 크게 늘어날 것으로 </w:t>
      </w:r>
      <w:proofErr w:type="spellStart"/>
      <w:r>
        <w:rPr>
          <w:rFonts w:hint="eastAsia"/>
          <w:sz w:val="22"/>
          <w:szCs w:val="22"/>
        </w:rPr>
        <w:t>기대한다”고</w:t>
      </w:r>
      <w:proofErr w:type="spellEnd"/>
      <w:r>
        <w:rPr>
          <w:rFonts w:hint="eastAsia"/>
          <w:sz w:val="22"/>
          <w:szCs w:val="22"/>
        </w:rPr>
        <w:t xml:space="preserve"> 말했다. </w:t>
      </w:r>
    </w:p>
    <w:p w:rsidR="003870A8" w:rsidRDefault="003870A8">
      <w:pPr>
        <w:widowControl/>
        <w:wordWrap/>
        <w:autoSpaceDE/>
        <w:autoSpaceDN/>
        <w:rPr>
          <w:b/>
          <w:sz w:val="22"/>
          <w:szCs w:val="22"/>
        </w:rPr>
      </w:pPr>
    </w:p>
    <w:p w:rsidR="003870A8" w:rsidRDefault="003A57F4">
      <w:pPr>
        <w:spacing w:after="0" w:line="240" w:lineRule="auto"/>
        <w:rPr>
          <w:b/>
          <w:sz w:val="22"/>
          <w:szCs w:val="22"/>
        </w:rPr>
      </w:pPr>
      <w:proofErr w:type="spellStart"/>
      <w:r>
        <w:rPr>
          <w:rFonts w:hint="eastAsia"/>
          <w:b/>
          <w:sz w:val="22"/>
          <w:szCs w:val="22"/>
        </w:rPr>
        <w:t>마티카</w:t>
      </w:r>
      <w:proofErr w:type="spellEnd"/>
      <w:r>
        <w:rPr>
          <w:rFonts w:hint="eastAsia"/>
          <w:b/>
          <w:sz w:val="22"/>
          <w:szCs w:val="22"/>
        </w:rPr>
        <w:t xml:space="preserve"> 바이오, 미국 내 600 CGT 개발사 분석…선정 기업 집중 공략</w:t>
      </w:r>
    </w:p>
    <w:p w:rsidR="003870A8" w:rsidRDefault="003A57F4">
      <w:pPr>
        <w:spacing w:after="0" w:line="240" w:lineRule="auto"/>
        <w:rPr>
          <w:sz w:val="22"/>
          <w:szCs w:val="22"/>
        </w:rPr>
      </w:pPr>
      <w:proofErr w:type="spellStart"/>
      <w:r>
        <w:rPr>
          <w:sz w:val="22"/>
          <w:szCs w:val="22"/>
        </w:rPr>
        <w:t>마티카</w:t>
      </w:r>
      <w:proofErr w:type="spellEnd"/>
      <w:r>
        <w:rPr>
          <w:sz w:val="22"/>
          <w:szCs w:val="22"/>
        </w:rPr>
        <w:t xml:space="preserve"> </w:t>
      </w:r>
      <w:proofErr w:type="spellStart"/>
      <w:r>
        <w:rPr>
          <w:sz w:val="22"/>
          <w:szCs w:val="22"/>
        </w:rPr>
        <w:t>바이오는</w:t>
      </w:r>
      <w:proofErr w:type="spellEnd"/>
      <w:r>
        <w:rPr>
          <w:sz w:val="22"/>
          <w:szCs w:val="22"/>
        </w:rPr>
        <w:t xml:space="preserve"> 2022년 국내 기업 최초로 미국 텍사스에 CGT 맞춤형 CDMO 시설을 완공했고, 2023년 자체 </w:t>
      </w:r>
      <w:proofErr w:type="spellStart"/>
      <w:r>
        <w:rPr>
          <w:sz w:val="22"/>
          <w:szCs w:val="22"/>
        </w:rPr>
        <w:t>세포주</w:t>
      </w:r>
      <w:proofErr w:type="spellEnd"/>
      <w:r>
        <w:rPr>
          <w:sz w:val="22"/>
          <w:szCs w:val="22"/>
        </w:rPr>
        <w:t xml:space="preserve"> </w:t>
      </w:r>
      <w:proofErr w:type="spellStart"/>
      <w:r>
        <w:rPr>
          <w:sz w:val="22"/>
          <w:szCs w:val="22"/>
        </w:rPr>
        <w:t>마티맥스</w:t>
      </w:r>
      <w:proofErr w:type="spellEnd"/>
      <w:r>
        <w:rPr>
          <w:sz w:val="22"/>
          <w:szCs w:val="22"/>
        </w:rPr>
        <w:t>(</w:t>
      </w:r>
      <w:proofErr w:type="spellStart"/>
      <w:r>
        <w:rPr>
          <w:sz w:val="22"/>
          <w:szCs w:val="22"/>
        </w:rPr>
        <w:t>MatiMax</w:t>
      </w:r>
      <w:r>
        <w:rPr>
          <w:sz w:val="22"/>
          <w:szCs w:val="22"/>
          <w:vertAlign w:val="superscript"/>
        </w:rPr>
        <w:t>TM</w:t>
      </w:r>
      <w:proofErr w:type="spellEnd"/>
      <w:r>
        <w:rPr>
          <w:sz w:val="22"/>
          <w:szCs w:val="22"/>
        </w:rPr>
        <w:t>)</w:t>
      </w:r>
      <w:proofErr w:type="spellStart"/>
      <w:r>
        <w:rPr>
          <w:sz w:val="22"/>
          <w:szCs w:val="22"/>
        </w:rPr>
        <w:t>를</w:t>
      </w:r>
      <w:proofErr w:type="spellEnd"/>
      <w:r>
        <w:rPr>
          <w:sz w:val="22"/>
          <w:szCs w:val="22"/>
        </w:rPr>
        <w:t xml:space="preserve"> 개발하는 등 성과를 이어가고 있다.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올해 초 취임한 폴 김 대표는 30년 이상의 바이오 기업에서 연구개발뿐만 아니라 경영·투자 관련 분야 경험을 살려 글로벌 바이오기업들과 전략적 파트너십을 확대해 나가고 있다.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폴 김 대표는 “미국 내 600</w:t>
      </w:r>
      <w:r w:rsidR="004A6F6B">
        <w:rPr>
          <w:rFonts w:hint="eastAsia"/>
          <w:sz w:val="22"/>
          <w:szCs w:val="22"/>
        </w:rPr>
        <w:t>여</w:t>
      </w:r>
      <w:r>
        <w:rPr>
          <w:sz w:val="22"/>
          <w:szCs w:val="22"/>
        </w:rPr>
        <w:t xml:space="preserve">개의 CGT 개발사가 있고, 그 중 제조시설 보유 여부, 파이프라인 종류 및 개수 등 다양한 요인을 분석해 </w:t>
      </w:r>
      <w:proofErr w:type="spellStart"/>
      <w:r>
        <w:rPr>
          <w:sz w:val="22"/>
          <w:szCs w:val="22"/>
        </w:rPr>
        <w:t>마티카</w:t>
      </w:r>
      <w:proofErr w:type="spellEnd"/>
      <w:r>
        <w:rPr>
          <w:sz w:val="22"/>
          <w:szCs w:val="22"/>
        </w:rPr>
        <w:t xml:space="preserve"> </w:t>
      </w:r>
      <w:proofErr w:type="spellStart"/>
      <w:r>
        <w:rPr>
          <w:sz w:val="22"/>
          <w:szCs w:val="22"/>
        </w:rPr>
        <w:t>바이오에</w:t>
      </w:r>
      <w:proofErr w:type="spellEnd"/>
      <w:r>
        <w:rPr>
          <w:sz w:val="22"/>
          <w:szCs w:val="22"/>
        </w:rPr>
        <w:t xml:space="preserve"> 적합한 개발사를 선정, 집중 공략하고 있다”고 말했다. </w:t>
      </w:r>
    </w:p>
    <w:p w:rsidR="003870A8" w:rsidRPr="004A6F6B"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이를 위해 </w:t>
      </w:r>
      <w:proofErr w:type="spellStart"/>
      <w:r>
        <w:rPr>
          <w:sz w:val="22"/>
          <w:szCs w:val="22"/>
        </w:rPr>
        <w:t>마티카</w:t>
      </w:r>
      <w:proofErr w:type="spellEnd"/>
      <w:r>
        <w:rPr>
          <w:sz w:val="22"/>
          <w:szCs w:val="22"/>
        </w:rPr>
        <w:t xml:space="preserve"> </w:t>
      </w:r>
      <w:proofErr w:type="spellStart"/>
      <w:r>
        <w:rPr>
          <w:sz w:val="22"/>
          <w:szCs w:val="22"/>
        </w:rPr>
        <w:t>바이오는</w:t>
      </w:r>
      <w:proofErr w:type="spellEnd"/>
      <w:r>
        <w:rPr>
          <w:sz w:val="22"/>
          <w:szCs w:val="22"/>
        </w:rPr>
        <w:t xml:space="preserve"> 싱글 </w:t>
      </w:r>
      <w:proofErr w:type="spellStart"/>
      <w:r>
        <w:rPr>
          <w:sz w:val="22"/>
          <w:szCs w:val="22"/>
        </w:rPr>
        <w:t>유즈</w:t>
      </w:r>
      <w:proofErr w:type="spellEnd"/>
      <w:r>
        <w:rPr>
          <w:sz w:val="22"/>
          <w:szCs w:val="22"/>
        </w:rPr>
        <w:t xml:space="preserve"> 시스템(Single use system), 완전 폐쇄형 제조 시스템 등 CGT의 핵심 원료인 </w:t>
      </w:r>
      <w:proofErr w:type="spellStart"/>
      <w:r>
        <w:rPr>
          <w:sz w:val="22"/>
          <w:szCs w:val="22"/>
        </w:rPr>
        <w:t>바이럴</w:t>
      </w:r>
      <w:proofErr w:type="spellEnd"/>
      <w:r>
        <w:rPr>
          <w:sz w:val="22"/>
          <w:szCs w:val="22"/>
        </w:rPr>
        <w:t xml:space="preserve"> 벡터 생산에 필요한 플랫폼을 확립했고, 최근 전략적 협력을 통해 키메라 항원 수용체 T세포(CAR-T) 생산 플랫폼도 개발을 시작했다.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특히 최근 CGT 분야에서 수주가 늘어날 전망을 감안해 </w:t>
      </w:r>
      <w:r>
        <w:rPr>
          <w:rFonts w:eastAsiaTheme="minorHAnsi"/>
          <w:sz w:val="22"/>
          <w:szCs w:val="22"/>
        </w:rPr>
        <w:t xml:space="preserve">2~3년 </w:t>
      </w:r>
      <w:r w:rsidR="004A6F6B">
        <w:rPr>
          <w:rFonts w:eastAsiaTheme="minorHAnsi" w:hint="eastAsia"/>
          <w:sz w:val="22"/>
          <w:szCs w:val="22"/>
        </w:rPr>
        <w:t>안에</w:t>
      </w:r>
      <w:r>
        <w:rPr>
          <w:rFonts w:eastAsiaTheme="minorHAnsi"/>
          <w:sz w:val="22"/>
          <w:szCs w:val="22"/>
        </w:rPr>
        <w:t xml:space="preserve"> 미국</w:t>
      </w:r>
      <w:r w:rsidR="004A6F6B">
        <w:rPr>
          <w:rFonts w:eastAsiaTheme="minorHAnsi" w:hint="eastAsia"/>
          <w:sz w:val="22"/>
          <w:szCs w:val="22"/>
        </w:rPr>
        <w:t>에</w:t>
      </w:r>
      <w:r>
        <w:rPr>
          <w:rFonts w:eastAsiaTheme="minorHAnsi"/>
          <w:sz w:val="22"/>
          <w:szCs w:val="22"/>
        </w:rPr>
        <w:t xml:space="preserve"> </w:t>
      </w:r>
      <w:r>
        <w:rPr>
          <w:sz w:val="22"/>
          <w:szCs w:val="22"/>
        </w:rPr>
        <w:t xml:space="preserve">2공장을 확장할 계획이다. 시장 상황, 수주 현황 등을 다각도로 고려해 세부 일정을 조율하고 있다. 2공장이 완공되면 </w:t>
      </w:r>
      <w:proofErr w:type="spellStart"/>
      <w:r>
        <w:rPr>
          <w:sz w:val="22"/>
          <w:szCs w:val="22"/>
        </w:rPr>
        <w:t>마티카</w:t>
      </w:r>
      <w:proofErr w:type="spellEnd"/>
      <w:r>
        <w:rPr>
          <w:sz w:val="22"/>
          <w:szCs w:val="22"/>
        </w:rPr>
        <w:t xml:space="preserve"> </w:t>
      </w:r>
      <w:proofErr w:type="spellStart"/>
      <w:r>
        <w:rPr>
          <w:sz w:val="22"/>
          <w:szCs w:val="22"/>
        </w:rPr>
        <w:t>바</w:t>
      </w:r>
      <w:r>
        <w:rPr>
          <w:sz w:val="22"/>
          <w:szCs w:val="22"/>
        </w:rPr>
        <w:lastRenderedPageBreak/>
        <w:t>이오의</w:t>
      </w:r>
      <w:proofErr w:type="spellEnd"/>
      <w:r>
        <w:rPr>
          <w:sz w:val="22"/>
          <w:szCs w:val="22"/>
        </w:rPr>
        <w:t xml:space="preserve"> </w:t>
      </w:r>
      <w:proofErr w:type="spellStart"/>
      <w:r>
        <w:rPr>
          <w:sz w:val="22"/>
          <w:szCs w:val="22"/>
        </w:rPr>
        <w:t>생산용량은</w:t>
      </w:r>
      <w:proofErr w:type="spellEnd"/>
      <w:r>
        <w:rPr>
          <w:sz w:val="22"/>
          <w:szCs w:val="22"/>
        </w:rPr>
        <w:t xml:space="preserve"> 기존 500L에서 2000L</w:t>
      </w:r>
      <w:r w:rsidR="004A6F6B">
        <w:rPr>
          <w:rFonts w:hint="eastAsia"/>
          <w:sz w:val="22"/>
          <w:szCs w:val="22"/>
        </w:rPr>
        <w:t>로</w:t>
      </w:r>
      <w:r>
        <w:rPr>
          <w:sz w:val="22"/>
          <w:szCs w:val="22"/>
        </w:rPr>
        <w:t xml:space="preserve"> 늘어나고, 연구개발 단계부터 </w:t>
      </w:r>
      <w:proofErr w:type="spellStart"/>
      <w:r>
        <w:rPr>
          <w:sz w:val="22"/>
          <w:szCs w:val="22"/>
        </w:rPr>
        <w:t>임상생산</w:t>
      </w:r>
      <w:proofErr w:type="spellEnd"/>
      <w:r>
        <w:rPr>
          <w:sz w:val="22"/>
          <w:szCs w:val="22"/>
        </w:rPr>
        <w:t xml:space="preserve"> 및 상업화 생산까지 의약품 개발의 전 단계를 효율적으로 제공할 수 있다.</w:t>
      </w:r>
    </w:p>
    <w:p w:rsidR="003870A8" w:rsidRPr="004A6F6B"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폴 김 대표는 기자간담회에서 CGT 시장이 </w:t>
      </w:r>
      <w:r w:rsidR="004A6F6B">
        <w:rPr>
          <w:sz w:val="22"/>
          <w:szCs w:val="22"/>
        </w:rPr>
        <w:t>앞으로</w:t>
      </w:r>
      <w:r>
        <w:rPr>
          <w:sz w:val="22"/>
          <w:szCs w:val="22"/>
        </w:rPr>
        <w:t xml:space="preserve"> 크게 성장할 것이라고 자신했다. 국가생명공학정책연구센터에 따르면 글로벌 CGT 시장은 2027년 417억 7000만 달러(54조 8231억원) 규모에 이를 전망이다. 아직까지는 임상에 필요한 CGT 생산이 시장의 대부분을 차지하고 있지만 의약품 허가를 받는 CCT가 늘어나면서 CDMO 시장도 함께 확대될 것으로 예상된다. 실제 2023년에만 7개, 2024년 1분기에 3개의 CGT가 미국 FDA의 허가를 받는 등 의약품 허가를 받는 CGT가 증가함에 따라 CDMO 수요도 지속적으로 증가할 것으로 기대된다.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폴 김 대표는 “</w:t>
      </w:r>
      <w:proofErr w:type="spellStart"/>
      <w:r>
        <w:rPr>
          <w:sz w:val="22"/>
          <w:szCs w:val="22"/>
        </w:rPr>
        <w:t>마티카</w:t>
      </w:r>
      <w:proofErr w:type="spellEnd"/>
      <w:r>
        <w:rPr>
          <w:sz w:val="22"/>
          <w:szCs w:val="22"/>
        </w:rPr>
        <w:t xml:space="preserve"> </w:t>
      </w:r>
      <w:proofErr w:type="spellStart"/>
      <w:r>
        <w:rPr>
          <w:sz w:val="22"/>
          <w:szCs w:val="22"/>
        </w:rPr>
        <w:t>바이오도</w:t>
      </w:r>
      <w:proofErr w:type="spellEnd"/>
      <w:r>
        <w:rPr>
          <w:sz w:val="22"/>
          <w:szCs w:val="22"/>
        </w:rPr>
        <w:t xml:space="preserve"> CGT 분야에서 2022년부터 매출이 발생하기 시작했고, CGT 시장</w:t>
      </w:r>
      <w:r w:rsidR="004A6F6B">
        <w:rPr>
          <w:rFonts w:hint="eastAsia"/>
          <w:sz w:val="22"/>
          <w:szCs w:val="22"/>
        </w:rPr>
        <w:t>이 급격히 성장하면서</w:t>
      </w:r>
      <w:r>
        <w:rPr>
          <w:sz w:val="22"/>
          <w:szCs w:val="22"/>
        </w:rPr>
        <w:t xml:space="preserve"> 매출도 빠르게 커질 것으로 기대한다”</w:t>
      </w:r>
      <w:proofErr w:type="spellStart"/>
      <w:r>
        <w:rPr>
          <w:sz w:val="22"/>
          <w:szCs w:val="22"/>
        </w:rPr>
        <w:t>며</w:t>
      </w:r>
      <w:proofErr w:type="spellEnd"/>
      <w:r>
        <w:rPr>
          <w:sz w:val="22"/>
          <w:szCs w:val="22"/>
        </w:rPr>
        <w:t xml:space="preserve"> “빠르게 진화하는 글로벌 CGT 시장에서 </w:t>
      </w:r>
      <w:proofErr w:type="spellStart"/>
      <w:r>
        <w:rPr>
          <w:sz w:val="22"/>
          <w:szCs w:val="22"/>
        </w:rPr>
        <w:t>차바이오텍의</w:t>
      </w:r>
      <w:proofErr w:type="spellEnd"/>
      <w:r>
        <w:rPr>
          <w:sz w:val="22"/>
          <w:szCs w:val="22"/>
        </w:rPr>
        <w:t xml:space="preserve"> 글로벌 CDMO 네트워크와 인프라를 이용해 전 세계 바이오 기업들의 전략적 CDMO 파트너가 되는 것이 목표”</w:t>
      </w:r>
      <w:proofErr w:type="spellStart"/>
      <w:r>
        <w:rPr>
          <w:sz w:val="22"/>
          <w:szCs w:val="22"/>
        </w:rPr>
        <w:t>라고</w:t>
      </w:r>
      <w:proofErr w:type="spellEnd"/>
      <w:r>
        <w:rPr>
          <w:sz w:val="22"/>
          <w:szCs w:val="22"/>
        </w:rPr>
        <w:t xml:space="preserve"> 말했다.</w:t>
      </w:r>
    </w:p>
    <w:p w:rsidR="003870A8" w:rsidRDefault="003870A8">
      <w:pPr>
        <w:spacing w:after="0" w:line="240" w:lineRule="auto"/>
        <w:rPr>
          <w:sz w:val="22"/>
          <w:szCs w:val="22"/>
        </w:rPr>
      </w:pPr>
    </w:p>
    <w:p w:rsidR="003870A8" w:rsidRDefault="003A57F4">
      <w:pPr>
        <w:spacing w:after="0" w:line="240" w:lineRule="auto"/>
        <w:rPr>
          <w:b/>
          <w:sz w:val="22"/>
          <w:szCs w:val="22"/>
        </w:rPr>
      </w:pPr>
      <w:proofErr w:type="spellStart"/>
      <w:r>
        <w:rPr>
          <w:rFonts w:hint="eastAsia"/>
          <w:b/>
          <w:sz w:val="22"/>
          <w:szCs w:val="22"/>
        </w:rPr>
        <w:t>차바이오텍</w:t>
      </w:r>
      <w:proofErr w:type="spellEnd"/>
      <w:r>
        <w:rPr>
          <w:rFonts w:hint="eastAsia"/>
          <w:b/>
          <w:sz w:val="22"/>
          <w:szCs w:val="22"/>
        </w:rPr>
        <w:t xml:space="preserve">, 글로벌 5개 사이트 CGT </w:t>
      </w:r>
      <w:r>
        <w:rPr>
          <w:b/>
          <w:sz w:val="22"/>
          <w:szCs w:val="22"/>
        </w:rPr>
        <w:t xml:space="preserve">CDMO </w:t>
      </w:r>
      <w:r>
        <w:rPr>
          <w:rFonts w:hint="eastAsia"/>
          <w:b/>
          <w:sz w:val="22"/>
          <w:szCs w:val="22"/>
        </w:rPr>
        <w:t>운영</w:t>
      </w:r>
      <w:r>
        <w:rPr>
          <w:b/>
          <w:sz w:val="22"/>
          <w:szCs w:val="22"/>
        </w:rPr>
        <w:t>…</w:t>
      </w:r>
      <w:r>
        <w:rPr>
          <w:rFonts w:hint="eastAsia"/>
          <w:b/>
          <w:sz w:val="22"/>
          <w:szCs w:val="22"/>
        </w:rPr>
        <w:t xml:space="preserve">최적의 </w:t>
      </w:r>
      <w:r>
        <w:rPr>
          <w:b/>
          <w:sz w:val="22"/>
          <w:szCs w:val="22"/>
        </w:rPr>
        <w:t xml:space="preserve">CGT </w:t>
      </w:r>
      <w:r>
        <w:rPr>
          <w:rFonts w:hint="eastAsia"/>
          <w:b/>
          <w:sz w:val="22"/>
          <w:szCs w:val="22"/>
        </w:rPr>
        <w:t>생산거점 제공</w:t>
      </w:r>
    </w:p>
    <w:p w:rsidR="003870A8" w:rsidRDefault="003A57F4">
      <w:pPr>
        <w:spacing w:after="0" w:line="240" w:lineRule="auto"/>
        <w:rPr>
          <w:sz w:val="22"/>
          <w:szCs w:val="22"/>
        </w:rPr>
      </w:pPr>
      <w:r>
        <w:rPr>
          <w:sz w:val="22"/>
          <w:szCs w:val="22"/>
        </w:rPr>
        <w:t>CGT 개발이 최근 크게 증가하면서, 임상 개발에 필요한 약물 생산을 넘어 상업화 단계의 생산 중요성이 커지고 있다.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CGT를 개발하는 기업 입장에서는, 임상이나 상용화 단계의 치료제를 직접 생산하는 경우 고도의 기술을 요하는 CGT 자체의 개발 외에도 고려해야하는 것이 기하급수적으로 증가하게 된다. </w:t>
      </w:r>
      <w:proofErr w:type="spellStart"/>
      <w:r w:rsidR="004A6F6B">
        <w:rPr>
          <w:rFonts w:hint="eastAsia"/>
          <w:sz w:val="22"/>
          <w:szCs w:val="22"/>
        </w:rPr>
        <w:t>경</w:t>
      </w:r>
      <w:r>
        <w:rPr>
          <w:sz w:val="22"/>
          <w:szCs w:val="22"/>
        </w:rPr>
        <w:t>구제나</w:t>
      </w:r>
      <w:proofErr w:type="spellEnd"/>
      <w:r>
        <w:rPr>
          <w:sz w:val="22"/>
          <w:szCs w:val="22"/>
        </w:rPr>
        <w:t xml:space="preserve"> 항체처럼 생산 프로세스가 규격화되어 확립되지 않은 CGT의 생산 공정</w:t>
      </w:r>
      <w:r w:rsidR="004A6F6B">
        <w:rPr>
          <w:rFonts w:hint="eastAsia"/>
          <w:sz w:val="22"/>
          <w:szCs w:val="22"/>
        </w:rPr>
        <w:t>을</w:t>
      </w:r>
      <w:r>
        <w:rPr>
          <w:sz w:val="22"/>
          <w:szCs w:val="22"/>
        </w:rPr>
        <w:t xml:space="preserve"> 개발해야하는 부담이 크기 때문이다. 또 CGT 개발의 성공은 제조방법 개발, 분석, 규제기관의 요구사항에 맞춘 규격 및 이를 문서화하는 작업과 각종 시설 기준 등 까다롭고 복합적인 준비를 필요로 한다.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양은영 </w:t>
      </w:r>
      <w:proofErr w:type="spellStart"/>
      <w:r>
        <w:rPr>
          <w:sz w:val="22"/>
          <w:szCs w:val="22"/>
        </w:rPr>
        <w:t>차바이오그룹</w:t>
      </w:r>
      <w:proofErr w:type="spellEnd"/>
      <w:r>
        <w:rPr>
          <w:sz w:val="22"/>
          <w:szCs w:val="22"/>
        </w:rPr>
        <w:t xml:space="preserve"> 사업총괄 부사장은 “</w:t>
      </w:r>
      <w:proofErr w:type="spellStart"/>
      <w:r>
        <w:rPr>
          <w:sz w:val="22"/>
          <w:szCs w:val="22"/>
        </w:rPr>
        <w:t>차바이오텍은</w:t>
      </w:r>
      <w:proofErr w:type="spellEnd"/>
      <w:r>
        <w:rPr>
          <w:sz w:val="22"/>
          <w:szCs w:val="22"/>
        </w:rPr>
        <w:t xml:space="preserve"> CGT 바이오기업의 이러한 고민을 지역적 한계 없이 함께 해결하기 위해 소규모부터 대규모까지 유연한 생산이 가능한 글로벌 5개 사이트 CGT CDMO 네트워크를 구축했다”</w:t>
      </w:r>
      <w:proofErr w:type="spellStart"/>
      <w:r>
        <w:rPr>
          <w:sz w:val="22"/>
          <w:szCs w:val="22"/>
        </w:rPr>
        <w:t>며</w:t>
      </w:r>
      <w:proofErr w:type="spellEnd"/>
      <w:r>
        <w:rPr>
          <w:sz w:val="22"/>
          <w:szCs w:val="22"/>
        </w:rPr>
        <w:t xml:space="preserve"> “CGT를 개발하는 기업이 국내는 물론 글로벌 진출을 할 수 있도록 각 기업 특성에 맞춰 임상 디자인부터 품목 허가까지 </w:t>
      </w:r>
      <w:proofErr w:type="spellStart"/>
      <w:r>
        <w:rPr>
          <w:sz w:val="22"/>
          <w:szCs w:val="22"/>
        </w:rPr>
        <w:t>전주기에</w:t>
      </w:r>
      <w:proofErr w:type="spellEnd"/>
      <w:r>
        <w:rPr>
          <w:sz w:val="22"/>
          <w:szCs w:val="22"/>
        </w:rPr>
        <w:t xml:space="preserve"> 걸쳐 서비스를 제공하겠다”고 말했다.</w:t>
      </w:r>
    </w:p>
    <w:p w:rsidR="003870A8" w:rsidRDefault="003870A8">
      <w:pPr>
        <w:spacing w:after="0" w:line="240" w:lineRule="auto"/>
        <w:rPr>
          <w:sz w:val="22"/>
          <w:szCs w:val="22"/>
        </w:rPr>
      </w:pPr>
    </w:p>
    <w:p w:rsidR="003870A8" w:rsidRDefault="003A57F4">
      <w:pPr>
        <w:spacing w:after="0" w:line="240" w:lineRule="auto"/>
        <w:rPr>
          <w:sz w:val="22"/>
          <w:szCs w:val="22"/>
        </w:rPr>
      </w:pPr>
      <w:proofErr w:type="spellStart"/>
      <w:r>
        <w:rPr>
          <w:sz w:val="22"/>
          <w:szCs w:val="22"/>
        </w:rPr>
        <w:t>차바이오텍의</w:t>
      </w:r>
      <w:proofErr w:type="spellEnd"/>
      <w:r>
        <w:rPr>
          <w:sz w:val="22"/>
          <w:szCs w:val="22"/>
        </w:rPr>
        <w:t xml:space="preserve"> 글로벌 5개 사이트 CGT CDMO 네트워크는 ▲</w:t>
      </w:r>
      <w:proofErr w:type="spellStart"/>
      <w:r>
        <w:rPr>
          <w:sz w:val="22"/>
          <w:szCs w:val="22"/>
        </w:rPr>
        <w:t>바이럴벡터를</w:t>
      </w:r>
      <w:proofErr w:type="spellEnd"/>
      <w:r>
        <w:rPr>
          <w:sz w:val="22"/>
          <w:szCs w:val="22"/>
        </w:rPr>
        <w:t xml:space="preserve"> 중심으로 CGT 공정 전문가가 포진해 있는 </w:t>
      </w:r>
      <w:proofErr w:type="spellStart"/>
      <w:r>
        <w:rPr>
          <w:b/>
          <w:sz w:val="22"/>
          <w:szCs w:val="22"/>
        </w:rPr>
        <w:t>마티카</w:t>
      </w:r>
      <w:proofErr w:type="spellEnd"/>
      <w:r>
        <w:rPr>
          <w:b/>
          <w:sz w:val="22"/>
          <w:szCs w:val="22"/>
        </w:rPr>
        <w:t xml:space="preserve"> 바이오</w:t>
      </w:r>
      <w:r>
        <w:rPr>
          <w:sz w:val="22"/>
          <w:szCs w:val="22"/>
        </w:rPr>
        <w:t xml:space="preserve"> ▲분석 및 다양한 세포치료제</w:t>
      </w:r>
      <w:r>
        <w:rPr>
          <w:rFonts w:hint="eastAsia"/>
          <w:sz w:val="22"/>
          <w:szCs w:val="22"/>
        </w:rPr>
        <w:t xml:space="preserve"> </w:t>
      </w:r>
      <w:r>
        <w:rPr>
          <w:sz w:val="22"/>
          <w:szCs w:val="22"/>
        </w:rPr>
        <w:t xml:space="preserve">생산을 전문으로 하는 </w:t>
      </w:r>
      <w:proofErr w:type="spellStart"/>
      <w:r>
        <w:rPr>
          <w:b/>
          <w:sz w:val="22"/>
          <w:szCs w:val="22"/>
        </w:rPr>
        <w:t>마티카바이오랩스</w:t>
      </w:r>
      <w:proofErr w:type="spellEnd"/>
      <w:r>
        <w:rPr>
          <w:sz w:val="22"/>
          <w:szCs w:val="22"/>
        </w:rPr>
        <w:t xml:space="preserve"> ▲</w:t>
      </w:r>
      <w:r>
        <w:rPr>
          <w:rFonts w:ascii="맑은 고딕" w:eastAsia="맑은 고딕" w:hAnsi="맑은 고딕"/>
          <w:color w:val="222222"/>
          <w:sz w:val="22"/>
          <w:szCs w:val="22"/>
          <w:shd w:val="clear" w:color="000000" w:fill="FFFFFF"/>
        </w:rPr>
        <w:t xml:space="preserve">CGT 분야에서 단일 시설로는 세계 최대 규모의 </w:t>
      </w:r>
      <w:r>
        <w:rPr>
          <w:rFonts w:ascii="맑은 고딕" w:eastAsia="맑은 고딕" w:hAnsi="맑은 고딕"/>
          <w:b/>
          <w:color w:val="222222"/>
          <w:sz w:val="22"/>
          <w:szCs w:val="22"/>
          <w:shd w:val="clear" w:color="000000" w:fill="FFFFFF"/>
        </w:rPr>
        <w:t xml:space="preserve">CGB(Cell Gene Biobank) </w:t>
      </w:r>
      <w:r>
        <w:rPr>
          <w:sz w:val="22"/>
          <w:szCs w:val="22"/>
        </w:rPr>
        <w:t xml:space="preserve">▲전세계 최초로 병원내 GMP시설을 확립한 </w:t>
      </w:r>
      <w:proofErr w:type="spellStart"/>
      <w:r>
        <w:rPr>
          <w:b/>
          <w:sz w:val="22"/>
          <w:szCs w:val="22"/>
        </w:rPr>
        <w:t>분당차병원</w:t>
      </w:r>
      <w:proofErr w:type="spellEnd"/>
      <w:r>
        <w:rPr>
          <w:b/>
          <w:sz w:val="22"/>
          <w:szCs w:val="22"/>
        </w:rPr>
        <w:t xml:space="preserve"> GMP</w:t>
      </w:r>
      <w:r>
        <w:rPr>
          <w:sz w:val="22"/>
          <w:szCs w:val="22"/>
        </w:rPr>
        <w:t xml:space="preserve"> ▲1만례 이상의 면역세포 및 줄기세포 치료 경험을 보유한 </w:t>
      </w:r>
      <w:r>
        <w:rPr>
          <w:b/>
          <w:sz w:val="22"/>
          <w:szCs w:val="22"/>
        </w:rPr>
        <w:t xml:space="preserve">일본 </w:t>
      </w:r>
      <w:proofErr w:type="spellStart"/>
      <w:r>
        <w:rPr>
          <w:b/>
          <w:sz w:val="22"/>
          <w:szCs w:val="22"/>
        </w:rPr>
        <w:t>마티카바이오재팬</w:t>
      </w:r>
      <w:r>
        <w:rPr>
          <w:sz w:val="22"/>
          <w:szCs w:val="22"/>
        </w:rPr>
        <w:t>으로</w:t>
      </w:r>
      <w:proofErr w:type="spellEnd"/>
      <w:r>
        <w:rPr>
          <w:sz w:val="22"/>
          <w:szCs w:val="22"/>
        </w:rPr>
        <w:t xml:space="preserve"> 구성된다. 각 사이트는 기존의 기업명을 ‘</w:t>
      </w:r>
      <w:proofErr w:type="spellStart"/>
      <w:r>
        <w:rPr>
          <w:sz w:val="22"/>
          <w:szCs w:val="22"/>
        </w:rPr>
        <w:t>마티카</w:t>
      </w:r>
      <w:proofErr w:type="spellEnd"/>
      <w:r>
        <w:rPr>
          <w:sz w:val="22"/>
          <w:szCs w:val="22"/>
        </w:rPr>
        <w:t xml:space="preserve">’라는 브랜드로 통일하고 사업 영역을 확장해 5개 사이트가 </w:t>
      </w:r>
      <w:r w:rsidR="004A6F6B">
        <w:rPr>
          <w:sz w:val="22"/>
          <w:szCs w:val="22"/>
        </w:rPr>
        <w:t>유기적</w:t>
      </w:r>
      <w:r w:rsidR="004A6F6B">
        <w:rPr>
          <w:rFonts w:hint="eastAsia"/>
          <w:sz w:val="22"/>
          <w:szCs w:val="22"/>
        </w:rPr>
        <w:t>으로 운영한다.</w:t>
      </w:r>
    </w:p>
    <w:p w:rsidR="003870A8" w:rsidRDefault="003870A8">
      <w:pPr>
        <w:spacing w:after="0" w:line="240" w:lineRule="auto"/>
        <w:rPr>
          <w:sz w:val="22"/>
          <w:szCs w:val="22"/>
        </w:rPr>
      </w:pPr>
    </w:p>
    <w:p w:rsidR="003870A8" w:rsidRDefault="003A57F4">
      <w:pPr>
        <w:spacing w:after="0" w:line="240" w:lineRule="auto"/>
        <w:rPr>
          <w:rFonts w:ascii="맑은 고딕" w:eastAsia="맑은 고딕" w:hAnsi="맑은 고딕"/>
          <w:color w:val="222222"/>
          <w:sz w:val="22"/>
          <w:szCs w:val="22"/>
          <w:shd w:val="clear" w:color="000000" w:fill="FFFFFF"/>
        </w:rPr>
      </w:pPr>
      <w:r>
        <w:rPr>
          <w:rFonts w:ascii="맑은 고딕" w:eastAsia="맑은 고딕" w:hAnsi="맑은 고딕"/>
          <w:color w:val="222222"/>
          <w:sz w:val="22"/>
          <w:szCs w:val="22"/>
          <w:shd w:val="clear" w:color="000000" w:fill="FFFFFF"/>
        </w:rPr>
        <w:t xml:space="preserve">2018년 </w:t>
      </w:r>
      <w:proofErr w:type="spellStart"/>
      <w:r>
        <w:rPr>
          <w:rFonts w:ascii="맑은 고딕" w:eastAsia="맑은 고딕" w:hAnsi="맑은 고딕"/>
          <w:color w:val="222222"/>
          <w:sz w:val="22"/>
          <w:szCs w:val="22"/>
          <w:shd w:val="clear" w:color="000000" w:fill="FFFFFF"/>
        </w:rPr>
        <w:t>차바이오텍에서</w:t>
      </w:r>
      <w:proofErr w:type="spellEnd"/>
      <w:r>
        <w:rPr>
          <w:rFonts w:ascii="맑은 고딕" w:eastAsia="맑은 고딕" w:hAnsi="맑은 고딕"/>
          <w:color w:val="222222"/>
          <w:sz w:val="22"/>
          <w:szCs w:val="22"/>
          <w:shd w:val="clear" w:color="000000" w:fill="FFFFFF"/>
        </w:rPr>
        <w:t xml:space="preserve"> 분할되어 설립된 차바이오랩은 최근 </w:t>
      </w:r>
      <w:proofErr w:type="spellStart"/>
      <w:r>
        <w:rPr>
          <w:rFonts w:ascii="맑은 고딕" w:eastAsia="맑은 고딕" w:hAnsi="맑은 고딕"/>
          <w:b/>
          <w:color w:val="222222"/>
          <w:sz w:val="22"/>
          <w:szCs w:val="22"/>
          <w:shd w:val="clear" w:color="000000" w:fill="FFFFFF"/>
        </w:rPr>
        <w:t>마티카바이오랩스</w:t>
      </w:r>
      <w:r>
        <w:rPr>
          <w:rFonts w:ascii="맑은 고딕" w:eastAsia="맑은 고딕" w:hAnsi="맑은 고딕"/>
          <w:color w:val="222222"/>
          <w:sz w:val="22"/>
          <w:szCs w:val="22"/>
          <w:shd w:val="clear" w:color="000000" w:fill="FFFFFF"/>
        </w:rPr>
        <w:t>로</w:t>
      </w:r>
      <w:proofErr w:type="spellEnd"/>
      <w:r>
        <w:rPr>
          <w:rFonts w:ascii="맑은 고딕" w:eastAsia="맑은 고딕" w:hAnsi="맑은 고딕"/>
          <w:color w:val="222222"/>
          <w:sz w:val="22"/>
          <w:szCs w:val="22"/>
          <w:shd w:val="clear" w:color="000000" w:fill="FFFFFF"/>
        </w:rPr>
        <w:t xml:space="preserve"> 사명을 변경했다. 임상 등급 세포치료제와 국내 상업용 세포치료제를 생산할 수 있는 GMP 시설을 보유하고 있다. 2021년 국내 최초로 ▲</w:t>
      </w:r>
      <w:proofErr w:type="spellStart"/>
      <w:r>
        <w:rPr>
          <w:rFonts w:ascii="맑은 고딕" w:eastAsia="맑은 고딕" w:hAnsi="맑은 고딕"/>
          <w:color w:val="222222"/>
          <w:sz w:val="22"/>
          <w:szCs w:val="22"/>
          <w:shd w:val="clear" w:color="000000" w:fill="FFFFFF"/>
        </w:rPr>
        <w:t>첨단바이오의약품</w:t>
      </w:r>
      <w:proofErr w:type="spellEnd"/>
      <w:r>
        <w:rPr>
          <w:rFonts w:ascii="맑은 고딕" w:eastAsia="맑은 고딕" w:hAnsi="맑은 고딕"/>
          <w:color w:val="222222"/>
          <w:sz w:val="22"/>
          <w:szCs w:val="22"/>
          <w:shd w:val="clear" w:color="000000" w:fill="FFFFFF"/>
        </w:rPr>
        <w:t xml:space="preserve"> 제조업 허가 ▲</w:t>
      </w:r>
      <w:proofErr w:type="spellStart"/>
      <w:r>
        <w:rPr>
          <w:rFonts w:ascii="맑은 고딕" w:eastAsia="맑은 고딕" w:hAnsi="맑은 고딕"/>
          <w:color w:val="222222"/>
          <w:sz w:val="22"/>
          <w:szCs w:val="22"/>
          <w:shd w:val="clear" w:color="000000" w:fill="FFFFFF"/>
        </w:rPr>
        <w:t>인체세포등</w:t>
      </w:r>
      <w:proofErr w:type="spellEnd"/>
      <w:r>
        <w:rPr>
          <w:rFonts w:ascii="맑은 고딕" w:eastAsia="맑은 고딕" w:hAnsi="맑은 고딕"/>
          <w:color w:val="222222"/>
          <w:sz w:val="22"/>
          <w:szCs w:val="22"/>
          <w:shd w:val="clear" w:color="000000" w:fill="FFFFFF"/>
        </w:rPr>
        <w:t xml:space="preserve"> </w:t>
      </w:r>
      <w:proofErr w:type="spellStart"/>
      <w:r>
        <w:rPr>
          <w:rFonts w:ascii="맑은 고딕" w:eastAsia="맑은 고딕" w:hAnsi="맑은 고딕"/>
          <w:color w:val="222222"/>
          <w:sz w:val="22"/>
          <w:szCs w:val="22"/>
          <w:shd w:val="clear" w:color="000000" w:fill="FFFFFF"/>
        </w:rPr>
        <w:t>관리업</w:t>
      </w:r>
      <w:proofErr w:type="spellEnd"/>
      <w:r>
        <w:rPr>
          <w:rFonts w:ascii="맑은 고딕" w:eastAsia="맑은 고딕" w:hAnsi="맑은 고딕"/>
          <w:color w:val="222222"/>
          <w:sz w:val="22"/>
          <w:szCs w:val="22"/>
          <w:shd w:val="clear" w:color="000000" w:fill="FFFFFF"/>
        </w:rPr>
        <w:t xml:space="preserve"> 허가 ▲세포처리시설 허가 등 </w:t>
      </w:r>
      <w:r>
        <w:rPr>
          <w:rFonts w:ascii="맑은 고딕" w:eastAsia="맑은 고딕" w:hAnsi="맑은 고딕"/>
          <w:color w:val="222222"/>
          <w:sz w:val="22"/>
          <w:szCs w:val="22"/>
          <w:shd w:val="clear" w:color="000000" w:fill="FFFFFF"/>
        </w:rPr>
        <w:lastRenderedPageBreak/>
        <w:t xml:space="preserve">CDMO사업과 </w:t>
      </w:r>
      <w:r>
        <w:rPr>
          <w:sz w:val="22"/>
          <w:szCs w:val="22"/>
        </w:rPr>
        <w:t>CGT</w:t>
      </w:r>
      <w:r>
        <w:rPr>
          <w:rFonts w:ascii="맑은 고딕" w:eastAsia="맑은 고딕" w:hAnsi="맑은 고딕"/>
          <w:color w:val="222222"/>
          <w:sz w:val="22"/>
          <w:szCs w:val="22"/>
          <w:shd w:val="clear" w:color="000000" w:fill="FFFFFF"/>
        </w:rPr>
        <w:t xml:space="preserve"> 연구·개발에 필요한 3가지 허가를 취득했다. 2019년에는 일본 PMDA(의약품의료기기종합기구)의 실사를 통과해 의약품제조시설인증을 획득함으로써 일본 시장에도 의약품</w:t>
      </w:r>
      <w:r w:rsidR="004A6F6B">
        <w:rPr>
          <w:rFonts w:ascii="맑은 고딕" w:eastAsia="맑은 고딕" w:hAnsi="맑은 고딕" w:hint="eastAsia"/>
          <w:color w:val="222222"/>
          <w:sz w:val="22"/>
          <w:szCs w:val="22"/>
          <w:shd w:val="clear" w:color="000000" w:fill="FFFFFF"/>
        </w:rPr>
        <w:t>을</w:t>
      </w:r>
      <w:r>
        <w:rPr>
          <w:rFonts w:ascii="맑은 고딕" w:eastAsia="맑은 고딕" w:hAnsi="맑은 고딕"/>
          <w:color w:val="222222"/>
          <w:sz w:val="22"/>
          <w:szCs w:val="22"/>
          <w:shd w:val="clear" w:color="000000" w:fill="FFFFFF"/>
        </w:rPr>
        <w:t xml:space="preserve"> 공급</w:t>
      </w:r>
      <w:r w:rsidR="004A6F6B">
        <w:rPr>
          <w:rFonts w:ascii="맑은 고딕" w:eastAsia="맑은 고딕" w:hAnsi="맑은 고딕" w:hint="eastAsia"/>
          <w:color w:val="222222"/>
          <w:sz w:val="22"/>
          <w:szCs w:val="22"/>
          <w:shd w:val="clear" w:color="000000" w:fill="FFFFFF"/>
        </w:rPr>
        <w:t>할 수 있게</w:t>
      </w:r>
      <w:r>
        <w:rPr>
          <w:rFonts w:ascii="맑은 고딕" w:eastAsia="맑은 고딕" w:hAnsi="맑은 고딕"/>
          <w:color w:val="222222"/>
          <w:sz w:val="22"/>
          <w:szCs w:val="22"/>
          <w:shd w:val="clear" w:color="000000" w:fill="FFFFFF"/>
        </w:rPr>
        <w:t xml:space="preserve"> 됐다.</w:t>
      </w:r>
    </w:p>
    <w:p w:rsidR="003870A8" w:rsidRDefault="003A57F4">
      <w:pPr>
        <w:spacing w:after="0" w:line="240" w:lineRule="auto"/>
        <w:rPr>
          <w:rFonts w:ascii="맑은 고딕" w:eastAsia="맑은 고딕" w:hAnsi="맑은 고딕"/>
          <w:color w:val="222222"/>
          <w:sz w:val="22"/>
          <w:szCs w:val="22"/>
          <w:shd w:val="clear" w:color="000000" w:fill="FFFFFF"/>
        </w:rPr>
      </w:pPr>
      <w:proofErr w:type="spellStart"/>
      <w:r>
        <w:rPr>
          <w:rFonts w:ascii="맑은 고딕" w:eastAsia="맑은 고딕" w:hAnsi="맑은 고딕"/>
          <w:color w:val="222222"/>
          <w:sz w:val="22"/>
          <w:szCs w:val="22"/>
          <w:shd w:val="clear" w:color="000000" w:fill="FFFFFF"/>
        </w:rPr>
        <w:t>마티카바이오랩스는</w:t>
      </w:r>
      <w:proofErr w:type="spellEnd"/>
      <w:r>
        <w:rPr>
          <w:rFonts w:ascii="맑은 고딕" w:eastAsia="맑은 고딕" w:hAnsi="맑은 고딕"/>
          <w:color w:val="222222"/>
          <w:sz w:val="22"/>
          <w:szCs w:val="22"/>
          <w:shd w:val="clear" w:color="000000" w:fill="FFFFFF"/>
        </w:rPr>
        <w:t xml:space="preserve"> 면역세포, 줄기세포, </w:t>
      </w:r>
      <w:proofErr w:type="spellStart"/>
      <w:r>
        <w:rPr>
          <w:rFonts w:ascii="맑은 고딕" w:eastAsia="맑은 고딕" w:hAnsi="맑은 고딕"/>
          <w:color w:val="222222"/>
          <w:sz w:val="22"/>
          <w:szCs w:val="22"/>
          <w:shd w:val="clear" w:color="000000" w:fill="FFFFFF"/>
        </w:rPr>
        <w:t>엑소좀</w:t>
      </w:r>
      <w:proofErr w:type="spellEnd"/>
      <w:r>
        <w:rPr>
          <w:rFonts w:ascii="맑은 고딕" w:eastAsia="맑은 고딕" w:hAnsi="맑은 고딕"/>
          <w:color w:val="222222"/>
          <w:sz w:val="22"/>
          <w:szCs w:val="22"/>
          <w:shd w:val="clear" w:color="000000" w:fill="FFFFFF"/>
        </w:rPr>
        <w:t xml:space="preserve"> 등 9개의 </w:t>
      </w:r>
      <w:proofErr w:type="spellStart"/>
      <w:r>
        <w:rPr>
          <w:rFonts w:ascii="맑은 고딕" w:eastAsia="맑은 고딕" w:hAnsi="맑은 고딕"/>
          <w:color w:val="222222"/>
          <w:sz w:val="22"/>
          <w:szCs w:val="22"/>
          <w:shd w:val="clear" w:color="000000" w:fill="FFFFFF"/>
        </w:rPr>
        <w:t>세포주를</w:t>
      </w:r>
      <w:proofErr w:type="spellEnd"/>
      <w:r>
        <w:rPr>
          <w:rFonts w:ascii="맑은 고딕" w:eastAsia="맑은 고딕" w:hAnsi="맑은 고딕"/>
          <w:color w:val="222222"/>
          <w:sz w:val="22"/>
          <w:szCs w:val="22"/>
          <w:shd w:val="clear" w:color="000000" w:fill="FFFFFF"/>
        </w:rPr>
        <w:t xml:space="preserve"> 1천배치 이상 생산한 경험을 바탕으로 CGT 상업화에 핵심인 AD(</w:t>
      </w:r>
      <w:proofErr w:type="spellStart"/>
      <w:r>
        <w:rPr>
          <w:rFonts w:ascii="맑은 고딕" w:eastAsia="맑은 고딕" w:hAnsi="맑은 고딕"/>
          <w:color w:val="222222"/>
          <w:sz w:val="22"/>
          <w:szCs w:val="22"/>
          <w:shd w:val="clear" w:color="000000" w:fill="FFFFFF"/>
        </w:rPr>
        <w:t>분석개발</w:t>
      </w:r>
      <w:proofErr w:type="spellEnd"/>
      <w:r>
        <w:rPr>
          <w:rFonts w:ascii="맑은 고딕" w:eastAsia="맑은 고딕" w:hAnsi="맑은 고딕"/>
          <w:color w:val="222222"/>
          <w:sz w:val="22"/>
          <w:szCs w:val="22"/>
          <w:shd w:val="clear" w:color="000000" w:fill="FFFFFF"/>
        </w:rPr>
        <w:t>), PD(공정개발)에 특화된 서비스를 제공한다. 현재까지 26개 위탁생산 프로젝트 실적을 바탕으로 국내에서 가장 활발한 위탁생산 활동을 진행하고 있다.</w:t>
      </w:r>
    </w:p>
    <w:p w:rsidR="003870A8" w:rsidRDefault="003870A8">
      <w:pPr>
        <w:spacing w:after="0" w:line="240" w:lineRule="auto"/>
        <w:rPr>
          <w:rFonts w:ascii="맑은 고딕" w:eastAsia="맑은 고딕" w:hAnsi="맑은 고딕"/>
          <w:color w:val="222222"/>
          <w:sz w:val="22"/>
          <w:szCs w:val="22"/>
          <w:shd w:val="clear" w:color="000000" w:fill="FFFFFF"/>
        </w:rPr>
      </w:pPr>
    </w:p>
    <w:p w:rsidR="003870A8" w:rsidRDefault="003A57F4">
      <w:pPr>
        <w:spacing w:after="0" w:line="240" w:lineRule="auto"/>
        <w:rPr>
          <w:rFonts w:ascii="맑은 고딕" w:eastAsia="맑은 고딕" w:hAnsi="맑은 고딕"/>
          <w:color w:val="222222"/>
          <w:sz w:val="22"/>
          <w:szCs w:val="22"/>
          <w:shd w:val="clear" w:color="000000" w:fill="FFFFFF"/>
        </w:rPr>
      </w:pPr>
      <w:r>
        <w:rPr>
          <w:rFonts w:ascii="맑은 고딕" w:eastAsia="맑은 고딕" w:hAnsi="맑은 고딕"/>
          <w:color w:val="222222"/>
          <w:sz w:val="22"/>
          <w:szCs w:val="22"/>
          <w:shd w:val="clear" w:color="000000" w:fill="FFFFFF"/>
        </w:rPr>
        <w:t xml:space="preserve">판교 제2테크노밸리에 2025년 말 완공 예정인 </w:t>
      </w:r>
      <w:r>
        <w:rPr>
          <w:rFonts w:ascii="맑은 고딕" w:eastAsia="맑은 고딕" w:hAnsi="맑은 고딕"/>
          <w:b/>
          <w:color w:val="222222"/>
          <w:sz w:val="22"/>
          <w:szCs w:val="22"/>
          <w:shd w:val="clear" w:color="000000" w:fill="FFFFFF"/>
        </w:rPr>
        <w:t>CGB(Cell Gene Biobank)</w:t>
      </w:r>
      <w:r>
        <w:rPr>
          <w:rFonts w:ascii="맑은 고딕" w:eastAsia="맑은 고딕" w:hAnsi="맑은 고딕"/>
          <w:color w:val="222222"/>
          <w:sz w:val="22"/>
          <w:szCs w:val="22"/>
          <w:shd w:val="clear" w:color="000000" w:fill="FFFFFF"/>
        </w:rPr>
        <w:t xml:space="preserve">는 지상 10층, 지하 4층, 연면적 6만 6115㎡(2만평)으로 CGT 분야에서 단일 시설로는 세계 최대 규모다. CGB에는 CDMO 생산시설 및 cGMP(우수의약품생산규격) 제조시설, 줄기세포 </w:t>
      </w:r>
      <w:proofErr w:type="spellStart"/>
      <w:r>
        <w:rPr>
          <w:rFonts w:ascii="맑은 고딕" w:eastAsia="맑은 고딕" w:hAnsi="맑은 고딕"/>
          <w:color w:val="222222"/>
          <w:sz w:val="22"/>
          <w:szCs w:val="22"/>
          <w:shd w:val="clear" w:color="000000" w:fill="FFFFFF"/>
        </w:rPr>
        <w:t>바이오뱅크</w:t>
      </w:r>
      <w:proofErr w:type="spellEnd"/>
      <w:r>
        <w:rPr>
          <w:rFonts w:ascii="맑은 고딕" w:eastAsia="맑은 고딕" w:hAnsi="맑은 고딕"/>
          <w:color w:val="222222"/>
          <w:sz w:val="22"/>
          <w:szCs w:val="22"/>
          <w:shd w:val="clear" w:color="000000" w:fill="FFFFFF"/>
        </w:rPr>
        <w:t xml:space="preserve"> 등이 들어선다. CGT, mRNA, </w:t>
      </w:r>
      <w:proofErr w:type="spellStart"/>
      <w:r>
        <w:rPr>
          <w:rFonts w:ascii="맑은 고딕" w:eastAsia="맑은 고딕" w:hAnsi="맑은 고딕"/>
          <w:color w:val="222222"/>
          <w:sz w:val="22"/>
          <w:szCs w:val="22"/>
          <w:shd w:val="clear" w:color="000000" w:fill="FFFFFF"/>
        </w:rPr>
        <w:t>바이럴벡터</w:t>
      </w:r>
      <w:proofErr w:type="spellEnd"/>
      <w:r>
        <w:rPr>
          <w:rFonts w:ascii="맑은 고딕" w:eastAsia="맑은 고딕" w:hAnsi="맑은 고딕"/>
          <w:color w:val="222222"/>
          <w:sz w:val="22"/>
          <w:szCs w:val="22"/>
          <w:shd w:val="clear" w:color="000000" w:fill="FFFFFF"/>
        </w:rPr>
        <w:t xml:space="preserve">, </w:t>
      </w:r>
      <w:proofErr w:type="spellStart"/>
      <w:r>
        <w:rPr>
          <w:rFonts w:ascii="맑은 고딕" w:eastAsia="맑은 고딕" w:hAnsi="맑은 고딕"/>
          <w:color w:val="222222"/>
          <w:sz w:val="22"/>
          <w:szCs w:val="22"/>
          <w:shd w:val="clear" w:color="000000" w:fill="FFFFFF"/>
        </w:rPr>
        <w:t>플라스미드</w:t>
      </w:r>
      <w:proofErr w:type="spellEnd"/>
      <w:r>
        <w:rPr>
          <w:rFonts w:ascii="맑은 고딕" w:eastAsia="맑은 고딕" w:hAnsi="맑은 고딕"/>
          <w:color w:val="222222"/>
          <w:sz w:val="22"/>
          <w:szCs w:val="22"/>
          <w:shd w:val="clear" w:color="000000" w:fill="FFFFFF"/>
        </w:rPr>
        <w:t xml:space="preserve"> DNA를 한 건물에서 동시에 생산할 수 있게 된다. 미국 현지에 비해 저렴한 비용으로 고품질의 제품을 생산할 수 있을 것으로 기대된다.</w:t>
      </w:r>
    </w:p>
    <w:p w:rsidR="003870A8" w:rsidRDefault="003A57F4">
      <w:pPr>
        <w:spacing w:after="0" w:line="240" w:lineRule="auto"/>
        <w:rPr>
          <w:rFonts w:ascii="맑은 고딕" w:eastAsia="맑은 고딕" w:hAnsi="맑은 고딕"/>
          <w:color w:val="222222"/>
          <w:sz w:val="22"/>
          <w:szCs w:val="22"/>
          <w:shd w:val="clear" w:color="000000" w:fill="FFFFFF"/>
        </w:rPr>
      </w:pPr>
      <w:r>
        <w:rPr>
          <w:rFonts w:ascii="맑은 고딕" w:eastAsia="맑은 고딕" w:hAnsi="맑은 고딕"/>
          <w:color w:val="222222"/>
          <w:sz w:val="22"/>
          <w:szCs w:val="22"/>
          <w:shd w:val="clear" w:color="000000" w:fill="FFFFFF"/>
        </w:rPr>
        <w:t xml:space="preserve">최근 미국 보스턴 캠브리지혁신센터와 MOU를 맺고 CGB 기반 오픈이노베이션센터 구축한다. CGB에 국내외 R&amp;D센터를 비롯 기술력과 성장 잠재력이 높은 바이오벤처를 발굴해 입주시키고, 이들이 투자를 유치할 수 있는 환경을 조성할 계획이다. </w:t>
      </w:r>
    </w:p>
    <w:p w:rsidR="003870A8" w:rsidRDefault="003870A8">
      <w:pPr>
        <w:spacing w:after="0" w:line="240" w:lineRule="auto"/>
        <w:rPr>
          <w:sz w:val="22"/>
          <w:szCs w:val="22"/>
        </w:rPr>
      </w:pPr>
    </w:p>
    <w:p w:rsidR="003870A8" w:rsidRDefault="003A57F4">
      <w:pPr>
        <w:spacing w:after="0" w:line="240" w:lineRule="auto"/>
        <w:rPr>
          <w:rFonts w:ascii="맑은 고딕" w:eastAsia="맑은 고딕" w:hAnsi="맑은 고딕"/>
          <w:color w:val="222222"/>
          <w:sz w:val="22"/>
          <w:szCs w:val="22"/>
          <w:shd w:val="clear" w:color="000000" w:fill="FFFFFF"/>
        </w:rPr>
      </w:pPr>
      <w:r>
        <w:rPr>
          <w:rFonts w:ascii="맑은 고딕" w:eastAsia="맑은 고딕" w:hAnsi="맑은 고딕"/>
          <w:color w:val="222222"/>
          <w:sz w:val="22"/>
          <w:szCs w:val="22"/>
          <w:shd w:val="clear" w:color="000000" w:fill="FFFFFF"/>
        </w:rPr>
        <w:t xml:space="preserve">2006년 설립된 </w:t>
      </w:r>
      <w:proofErr w:type="spellStart"/>
      <w:r>
        <w:rPr>
          <w:rFonts w:ascii="맑은 고딕" w:eastAsia="맑은 고딕" w:hAnsi="맑은 고딕"/>
          <w:b/>
          <w:color w:val="222222"/>
          <w:sz w:val="22"/>
          <w:szCs w:val="22"/>
          <w:shd w:val="clear" w:color="000000" w:fill="FFFFFF"/>
        </w:rPr>
        <w:t>분당차병원</w:t>
      </w:r>
      <w:proofErr w:type="spellEnd"/>
      <w:r>
        <w:rPr>
          <w:rFonts w:ascii="맑은 고딕" w:eastAsia="맑은 고딕" w:hAnsi="맑은 고딕"/>
          <w:b/>
          <w:color w:val="222222"/>
          <w:sz w:val="22"/>
          <w:szCs w:val="22"/>
          <w:shd w:val="clear" w:color="000000" w:fill="FFFFFF"/>
        </w:rPr>
        <w:t xml:space="preserve"> GMP</w:t>
      </w:r>
      <w:r>
        <w:rPr>
          <w:rFonts w:ascii="맑은 고딕" w:eastAsia="맑은 고딕" w:hAnsi="맑은 고딕"/>
          <w:color w:val="222222"/>
          <w:sz w:val="22"/>
          <w:szCs w:val="22"/>
          <w:shd w:val="clear" w:color="000000" w:fill="FFFFFF"/>
        </w:rPr>
        <w:t xml:space="preserve">는 국내 병원 중 가장 많은 </w:t>
      </w:r>
      <w:proofErr w:type="spellStart"/>
      <w:r>
        <w:rPr>
          <w:rFonts w:ascii="맑은 고딕" w:eastAsia="맑은 고딕" w:hAnsi="맑은 고딕"/>
          <w:color w:val="222222"/>
          <w:sz w:val="22"/>
          <w:szCs w:val="22"/>
          <w:shd w:val="clear" w:color="000000" w:fill="FFFFFF"/>
        </w:rPr>
        <w:t>세포기반</w:t>
      </w:r>
      <w:proofErr w:type="spellEnd"/>
      <w:r>
        <w:rPr>
          <w:rFonts w:ascii="맑은 고딕" w:eastAsia="맑은 고딕" w:hAnsi="맑은 고딕"/>
          <w:color w:val="222222"/>
          <w:sz w:val="22"/>
          <w:szCs w:val="22"/>
          <w:shd w:val="clear" w:color="000000" w:fill="FFFFFF"/>
        </w:rPr>
        <w:t xml:space="preserve"> IIT(연구자주도임상연구), SIT(의뢰자주도임상연구)를 수행해 풍부한 경험을 보유하고 있다. </w:t>
      </w:r>
    </w:p>
    <w:p w:rsidR="003870A8" w:rsidRDefault="003A57F4">
      <w:pPr>
        <w:spacing w:after="0" w:line="240" w:lineRule="auto"/>
        <w:rPr>
          <w:rFonts w:ascii="맑은 고딕" w:eastAsia="맑은 고딕" w:hAnsi="맑은 고딕"/>
          <w:color w:val="222222"/>
          <w:sz w:val="22"/>
          <w:szCs w:val="22"/>
          <w:shd w:val="clear" w:color="auto" w:fill="FFFFFF"/>
        </w:rPr>
      </w:pPr>
      <w:proofErr w:type="spellStart"/>
      <w:r>
        <w:rPr>
          <w:rFonts w:ascii="맑은 고딕" w:eastAsia="맑은 고딕" w:hAnsi="맑은 고딕"/>
          <w:color w:val="222222"/>
          <w:sz w:val="22"/>
          <w:szCs w:val="22"/>
          <w:shd w:val="clear" w:color="auto" w:fill="FFFFFF"/>
        </w:rPr>
        <w:t>분당차병원</w:t>
      </w:r>
      <w:proofErr w:type="spellEnd"/>
      <w:r>
        <w:rPr>
          <w:rFonts w:ascii="맑은 고딕" w:eastAsia="맑은 고딕" w:hAnsi="맑은 고딕"/>
          <w:color w:val="222222"/>
          <w:sz w:val="22"/>
          <w:szCs w:val="22"/>
          <w:shd w:val="clear" w:color="auto" w:fill="FFFFFF"/>
        </w:rPr>
        <w:t xml:space="preserve"> GMP는 GMP시설(세포치료제 </w:t>
      </w:r>
      <w:proofErr w:type="spellStart"/>
      <w:r>
        <w:rPr>
          <w:rFonts w:ascii="맑은 고딕" w:eastAsia="맑은 고딕" w:hAnsi="맑은 고딕"/>
          <w:color w:val="222222"/>
          <w:sz w:val="22"/>
          <w:szCs w:val="22"/>
          <w:shd w:val="clear" w:color="auto" w:fill="FFFFFF"/>
        </w:rPr>
        <w:t>생산실</w:t>
      </w:r>
      <w:proofErr w:type="spellEnd"/>
      <w:r>
        <w:rPr>
          <w:rFonts w:ascii="맑은 고딕" w:eastAsia="맑은 고딕" w:hAnsi="맑은 고딕"/>
          <w:color w:val="222222"/>
          <w:sz w:val="22"/>
          <w:szCs w:val="22"/>
          <w:shd w:val="clear" w:color="auto" w:fill="FFFFFF"/>
        </w:rPr>
        <w:t xml:space="preserve">)과 세포치료 전용 수술실이 한 공간에 있다. 살아있는 세포를 환자로부터 추출하고 단시간에 배양, 증식해 바로 및 임상 적용 </w:t>
      </w:r>
      <w:proofErr w:type="spellStart"/>
      <w:r>
        <w:rPr>
          <w:rFonts w:ascii="맑은 고딕" w:eastAsia="맑은 고딕" w:hAnsi="맑은 고딕"/>
          <w:color w:val="222222"/>
          <w:sz w:val="22"/>
          <w:szCs w:val="22"/>
          <w:shd w:val="clear" w:color="auto" w:fill="FFFFFF"/>
        </w:rPr>
        <w:t>할수</w:t>
      </w:r>
      <w:proofErr w:type="spellEnd"/>
      <w:r>
        <w:rPr>
          <w:rFonts w:ascii="맑은 고딕" w:eastAsia="맑은 고딕" w:hAnsi="맑은 고딕"/>
          <w:color w:val="222222"/>
          <w:sz w:val="22"/>
          <w:szCs w:val="22"/>
          <w:shd w:val="clear" w:color="auto" w:fill="FFFFFF"/>
        </w:rPr>
        <w:t xml:space="preserve"> 있는 큰 장점이 있다. </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2014년 </w:t>
      </w:r>
      <w:proofErr w:type="spellStart"/>
      <w:r>
        <w:rPr>
          <w:sz w:val="22"/>
          <w:szCs w:val="22"/>
        </w:rPr>
        <w:t>차바이오텍이</w:t>
      </w:r>
      <w:proofErr w:type="spellEnd"/>
      <w:r>
        <w:rPr>
          <w:sz w:val="22"/>
          <w:szCs w:val="22"/>
        </w:rPr>
        <w:t xml:space="preserve"> 일본 재생의료 시장에 진출하기 위해 설립한 CMS를 </w:t>
      </w:r>
      <w:proofErr w:type="spellStart"/>
      <w:r>
        <w:rPr>
          <w:b/>
          <w:sz w:val="22"/>
          <w:szCs w:val="22"/>
        </w:rPr>
        <w:t>마티카바이오재팬</w:t>
      </w:r>
      <w:r>
        <w:rPr>
          <w:sz w:val="22"/>
          <w:szCs w:val="22"/>
        </w:rPr>
        <w:t>으로</w:t>
      </w:r>
      <w:proofErr w:type="spellEnd"/>
      <w:r>
        <w:rPr>
          <w:sz w:val="22"/>
          <w:szCs w:val="22"/>
        </w:rPr>
        <w:t xml:space="preserve"> 이름을 바꿨다. 2015년 외국계 기업으로는 최초로 일본 </w:t>
      </w:r>
      <w:proofErr w:type="spellStart"/>
      <w:r>
        <w:rPr>
          <w:sz w:val="22"/>
          <w:szCs w:val="22"/>
        </w:rPr>
        <w:t>후생성</w:t>
      </w:r>
      <w:proofErr w:type="spellEnd"/>
      <w:r>
        <w:rPr>
          <w:sz w:val="22"/>
          <w:szCs w:val="22"/>
        </w:rPr>
        <w:t xml:space="preserve"> 허가를 취득했고, GMP 수준의 안전한 세포배양센터를 운영하고 있다. 지금까지 1만명 이상의 환자에게 재생의료 서비스를 제공했다. 풍부한 세포치료 경험으로 확보한 안정성과 </w:t>
      </w:r>
      <w:proofErr w:type="spellStart"/>
      <w:r>
        <w:rPr>
          <w:sz w:val="22"/>
          <w:szCs w:val="22"/>
        </w:rPr>
        <w:t>세포생산</w:t>
      </w:r>
      <w:proofErr w:type="spellEnd"/>
      <w:r>
        <w:rPr>
          <w:sz w:val="22"/>
          <w:szCs w:val="22"/>
        </w:rPr>
        <w:t xml:space="preserve"> 기술 및 안정적인 </w:t>
      </w:r>
      <w:proofErr w:type="spellStart"/>
      <w:r>
        <w:rPr>
          <w:sz w:val="22"/>
          <w:szCs w:val="22"/>
        </w:rPr>
        <w:t>공급력을</w:t>
      </w:r>
      <w:proofErr w:type="spellEnd"/>
      <w:r>
        <w:rPr>
          <w:sz w:val="22"/>
          <w:szCs w:val="22"/>
        </w:rPr>
        <w:t xml:space="preserve"> 바탕으로 CMO로 사업을 확장할 예정이다. </w:t>
      </w:r>
    </w:p>
    <w:p w:rsidR="003870A8" w:rsidRDefault="003870A8">
      <w:pPr>
        <w:spacing w:after="0" w:line="240" w:lineRule="auto"/>
        <w:rPr>
          <w:sz w:val="22"/>
          <w:szCs w:val="22"/>
        </w:rPr>
      </w:pPr>
    </w:p>
    <w:p w:rsidR="003870A8" w:rsidRDefault="003A57F4">
      <w:pPr>
        <w:spacing w:after="0" w:line="240" w:lineRule="auto"/>
        <w:rPr>
          <w:sz w:val="22"/>
          <w:szCs w:val="22"/>
        </w:rPr>
      </w:pPr>
      <w:proofErr w:type="spellStart"/>
      <w:r>
        <w:rPr>
          <w:sz w:val="22"/>
          <w:szCs w:val="22"/>
        </w:rPr>
        <w:t>차바이오텍의</w:t>
      </w:r>
      <w:proofErr w:type="spellEnd"/>
      <w:r>
        <w:rPr>
          <w:sz w:val="22"/>
          <w:szCs w:val="22"/>
        </w:rPr>
        <w:t xml:space="preserve"> 글로벌 5개 사이트 CGT CDMO 네트워크는 CGT </w:t>
      </w:r>
      <w:proofErr w:type="spellStart"/>
      <w:r>
        <w:rPr>
          <w:sz w:val="22"/>
          <w:szCs w:val="22"/>
        </w:rPr>
        <w:t>공정개발과</w:t>
      </w:r>
      <w:proofErr w:type="spellEnd"/>
      <w:r>
        <w:rPr>
          <w:sz w:val="22"/>
          <w:szCs w:val="22"/>
        </w:rPr>
        <w:t xml:space="preserve"> 분석기술 등 최신 기술뿐만 아니라 각 </w:t>
      </w:r>
      <w:proofErr w:type="spellStart"/>
      <w:r>
        <w:rPr>
          <w:sz w:val="22"/>
          <w:szCs w:val="22"/>
        </w:rPr>
        <w:t>사이트별</w:t>
      </w:r>
      <w:proofErr w:type="spellEnd"/>
      <w:r>
        <w:rPr>
          <w:sz w:val="22"/>
          <w:szCs w:val="22"/>
        </w:rPr>
        <w:t xml:space="preserve"> 특장점을 공유하는 유기적인 운영을 통해 </w:t>
      </w:r>
      <w:r w:rsidR="004A6F6B">
        <w:rPr>
          <w:rFonts w:hint="eastAsia"/>
          <w:sz w:val="22"/>
          <w:szCs w:val="22"/>
        </w:rPr>
        <w:t>시</w:t>
      </w:r>
      <w:r>
        <w:rPr>
          <w:sz w:val="22"/>
          <w:szCs w:val="22"/>
        </w:rPr>
        <w:t xml:space="preserve">너지를 발휘하게 된다. </w:t>
      </w:r>
      <w:proofErr w:type="spellStart"/>
      <w:r>
        <w:rPr>
          <w:sz w:val="22"/>
          <w:szCs w:val="22"/>
        </w:rPr>
        <w:t>차바이오텍에</w:t>
      </w:r>
      <w:proofErr w:type="spellEnd"/>
      <w:r>
        <w:rPr>
          <w:sz w:val="22"/>
          <w:szCs w:val="22"/>
        </w:rPr>
        <w:t xml:space="preserve"> CDMO를 맡기는 기업은 CGT 개발부터 생산, 임상까지 원스톱 솔루션을 제공받는다. 5개 사이트 중 최적의 생산 거점을 선정해 제품을 생산함으로써 해당 국가 시장에 진출할 수 있다. 한 사이트와 계약한 고객이라도 40년 이상 CGT 개발기술을 기반으로 한 5개 CDMO 사이트로 확장할 수 있는 기회가 생기는 것이다.</w:t>
      </w:r>
    </w:p>
    <w:p w:rsidR="003870A8" w:rsidRDefault="003870A8">
      <w:pPr>
        <w:spacing w:after="0" w:line="240" w:lineRule="auto"/>
        <w:rPr>
          <w:sz w:val="22"/>
          <w:szCs w:val="22"/>
        </w:rPr>
      </w:pPr>
    </w:p>
    <w:p w:rsidR="003870A8" w:rsidRDefault="003A57F4">
      <w:pPr>
        <w:spacing w:after="0" w:line="240" w:lineRule="auto"/>
        <w:rPr>
          <w:sz w:val="22"/>
          <w:szCs w:val="22"/>
        </w:rPr>
      </w:pPr>
      <w:r>
        <w:rPr>
          <w:sz w:val="22"/>
          <w:szCs w:val="22"/>
        </w:rPr>
        <w:t xml:space="preserve">개정된 </w:t>
      </w:r>
      <w:proofErr w:type="spellStart"/>
      <w:r>
        <w:rPr>
          <w:sz w:val="22"/>
          <w:szCs w:val="22"/>
        </w:rPr>
        <w:t>첨생법이</w:t>
      </w:r>
      <w:proofErr w:type="spellEnd"/>
      <w:r>
        <w:rPr>
          <w:sz w:val="22"/>
          <w:szCs w:val="22"/>
        </w:rPr>
        <w:t xml:space="preserve"> </w:t>
      </w:r>
      <w:r w:rsidR="004A6F6B">
        <w:rPr>
          <w:sz w:val="22"/>
          <w:szCs w:val="22"/>
        </w:rPr>
        <w:t xml:space="preserve">내년 2월 </w:t>
      </w:r>
      <w:r>
        <w:rPr>
          <w:sz w:val="22"/>
          <w:szCs w:val="22"/>
        </w:rPr>
        <w:t xml:space="preserve">시행되면 국내 CGT CDMO 사업이 활성화 될 것으로 기대된다. 재생의료 서비스를 제공하는 의료기관과 치료제를 개발하는 바이오벤처가 GMP 시설을 갖추기 위해선 초기 투자비용이 많이 들고 관련 기술을 확보하는 데도 많은 시간이 소요된다. 그래서 </w:t>
      </w:r>
      <w:proofErr w:type="spellStart"/>
      <w:r>
        <w:rPr>
          <w:sz w:val="22"/>
          <w:szCs w:val="22"/>
        </w:rPr>
        <w:t>재생의료에</w:t>
      </w:r>
      <w:proofErr w:type="spellEnd"/>
      <w:r>
        <w:rPr>
          <w:sz w:val="22"/>
          <w:szCs w:val="22"/>
        </w:rPr>
        <w:t xml:space="preserve"> 사용되는 CGT CDMO 수요가 늘어날 것으로 예상된다.</w:t>
      </w:r>
    </w:p>
    <w:p w:rsidR="003870A8" w:rsidRDefault="003870A8">
      <w:pPr>
        <w:spacing w:after="0" w:line="240" w:lineRule="auto"/>
        <w:rPr>
          <w:sz w:val="22"/>
          <w:szCs w:val="22"/>
        </w:rPr>
      </w:pPr>
    </w:p>
    <w:p w:rsidR="003870A8" w:rsidRDefault="003A57F4">
      <w:pPr>
        <w:spacing w:after="0" w:line="240" w:lineRule="auto"/>
        <w:rPr>
          <w:sz w:val="22"/>
          <w:szCs w:val="22"/>
        </w:rPr>
      </w:pPr>
      <w:proofErr w:type="spellStart"/>
      <w:r>
        <w:rPr>
          <w:sz w:val="22"/>
          <w:szCs w:val="22"/>
        </w:rPr>
        <w:t>차바이오텍은</w:t>
      </w:r>
      <w:proofErr w:type="spellEnd"/>
      <w:r>
        <w:rPr>
          <w:sz w:val="22"/>
          <w:szCs w:val="22"/>
        </w:rPr>
        <w:t xml:space="preserve"> 배아∙성체줄기세포부터 면역세포까지 </w:t>
      </w:r>
      <w:proofErr w:type="spellStart"/>
      <w:r>
        <w:rPr>
          <w:sz w:val="22"/>
          <w:szCs w:val="22"/>
        </w:rPr>
        <w:t>질환별로</w:t>
      </w:r>
      <w:proofErr w:type="spellEnd"/>
      <w:r>
        <w:rPr>
          <w:sz w:val="22"/>
          <w:szCs w:val="22"/>
        </w:rPr>
        <w:t xml:space="preserve"> 적용 가능한 세계 최대 셀 라이브러리</w:t>
      </w:r>
      <w:r>
        <w:rPr>
          <w:sz w:val="22"/>
          <w:szCs w:val="22"/>
        </w:rPr>
        <w:lastRenderedPageBreak/>
        <w:t xml:space="preserve">(Cell Library)와 분리·배양·동결 등 세포기술력을 보유하고 있다. </w:t>
      </w:r>
      <w:proofErr w:type="spellStart"/>
      <w:r>
        <w:rPr>
          <w:sz w:val="22"/>
          <w:szCs w:val="22"/>
        </w:rPr>
        <w:t>마티카바이오재팬이</w:t>
      </w:r>
      <w:proofErr w:type="spellEnd"/>
      <w:r>
        <w:rPr>
          <w:sz w:val="22"/>
          <w:szCs w:val="22"/>
        </w:rPr>
        <w:t xml:space="preserve"> 20년 동안 일본에서 쌓아온 재생의료 노하우도 가지고 있다. 이런 기술력과 </w:t>
      </w:r>
      <w:proofErr w:type="spellStart"/>
      <w:r>
        <w:rPr>
          <w:sz w:val="22"/>
          <w:szCs w:val="22"/>
        </w:rPr>
        <w:t>분당차병원</w:t>
      </w:r>
      <w:proofErr w:type="spellEnd"/>
      <w:r>
        <w:rPr>
          <w:sz w:val="22"/>
          <w:szCs w:val="22"/>
        </w:rPr>
        <w:t xml:space="preserve">, </w:t>
      </w:r>
      <w:proofErr w:type="spellStart"/>
      <w:r>
        <w:rPr>
          <w:sz w:val="22"/>
          <w:szCs w:val="22"/>
        </w:rPr>
        <w:t>마티카바이오랩스</w:t>
      </w:r>
      <w:proofErr w:type="spellEnd"/>
      <w:r>
        <w:rPr>
          <w:sz w:val="22"/>
          <w:szCs w:val="22"/>
        </w:rPr>
        <w:t xml:space="preserve">, </w:t>
      </w:r>
      <w:proofErr w:type="spellStart"/>
      <w:r>
        <w:rPr>
          <w:sz w:val="22"/>
          <w:szCs w:val="22"/>
        </w:rPr>
        <w:t>마티카</w:t>
      </w:r>
      <w:proofErr w:type="spellEnd"/>
      <w:r>
        <w:rPr>
          <w:sz w:val="22"/>
          <w:szCs w:val="22"/>
        </w:rPr>
        <w:t xml:space="preserve"> </w:t>
      </w:r>
      <w:proofErr w:type="spellStart"/>
      <w:r>
        <w:rPr>
          <w:sz w:val="22"/>
          <w:szCs w:val="22"/>
        </w:rPr>
        <w:t>바이오의</w:t>
      </w:r>
      <w:proofErr w:type="spellEnd"/>
      <w:r>
        <w:rPr>
          <w:sz w:val="22"/>
          <w:szCs w:val="22"/>
        </w:rPr>
        <w:t xml:space="preserve"> GMP시설을 활용해 고품질의 첨단재생의료용 세포치료제를 체계적으로 공급할 계획이다. #</w:t>
      </w:r>
    </w:p>
    <w:sectPr w:rsidR="003870A8">
      <w:pgSz w:w="11906" w:h="16838"/>
      <w:pgMar w:top="720" w:right="720" w:bottom="720" w:left="720" w:header="851" w:footer="992"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1F000014"/>
    <w:lvl w:ilvl="0" w:tplc="67F4683C">
      <w:start w:val="1"/>
      <w:numFmt w:val="bullet"/>
      <w:lvlText w:val="●"/>
      <w:lvlJc w:val="left"/>
      <w:pPr>
        <w:ind w:left="-2942" w:hanging="360"/>
      </w:pPr>
      <w:rPr>
        <w:rFonts w:ascii="맑은 고딕" w:eastAsia="맑은 고딕" w:hAnsi="맑은 고딕" w:cs="Times New Roman" w:hint="eastAsia"/>
        <w:shd w:val="clear" w:color="auto" w:fill="auto"/>
        <w:lang w:val="en-US"/>
      </w:rPr>
    </w:lvl>
    <w:lvl w:ilvl="1" w:tplc="1B96AC4A">
      <w:start w:val="1"/>
      <w:numFmt w:val="bullet"/>
      <w:lvlText w:val="n"/>
      <w:lvlJc w:val="left"/>
      <w:pPr>
        <w:ind w:left="-2502" w:hanging="400"/>
      </w:pPr>
      <w:rPr>
        <w:rFonts w:ascii="Wingdings" w:hAnsi="Wingdings" w:hint="default"/>
        <w:shd w:val="clear" w:color="auto" w:fill="auto"/>
      </w:rPr>
    </w:lvl>
    <w:lvl w:ilvl="2" w:tplc="1D048300">
      <w:start w:val="1"/>
      <w:numFmt w:val="bullet"/>
      <w:lvlText w:val="u"/>
      <w:lvlJc w:val="left"/>
      <w:pPr>
        <w:ind w:left="-2102" w:hanging="400"/>
      </w:pPr>
      <w:rPr>
        <w:rFonts w:ascii="Wingdings" w:hAnsi="Wingdings" w:hint="default"/>
        <w:shd w:val="clear" w:color="auto" w:fill="auto"/>
      </w:rPr>
    </w:lvl>
    <w:lvl w:ilvl="3" w:tplc="04E8704A">
      <w:start w:val="1"/>
      <w:numFmt w:val="bullet"/>
      <w:lvlText w:val="l"/>
      <w:lvlJc w:val="left"/>
      <w:pPr>
        <w:ind w:left="-1702" w:hanging="400"/>
      </w:pPr>
      <w:rPr>
        <w:rFonts w:ascii="Wingdings" w:hAnsi="Wingdings" w:hint="default"/>
        <w:shd w:val="clear" w:color="auto" w:fill="auto"/>
      </w:rPr>
    </w:lvl>
    <w:lvl w:ilvl="4" w:tplc="692E7C1C">
      <w:start w:val="1"/>
      <w:numFmt w:val="bullet"/>
      <w:lvlText w:val="n"/>
      <w:lvlJc w:val="left"/>
      <w:pPr>
        <w:ind w:left="-1302" w:hanging="400"/>
      </w:pPr>
      <w:rPr>
        <w:rFonts w:ascii="Wingdings" w:hAnsi="Wingdings" w:hint="default"/>
        <w:shd w:val="clear" w:color="auto" w:fill="auto"/>
      </w:rPr>
    </w:lvl>
    <w:lvl w:ilvl="5" w:tplc="E09AFC0E">
      <w:start w:val="1"/>
      <w:numFmt w:val="bullet"/>
      <w:lvlText w:val="u"/>
      <w:lvlJc w:val="left"/>
      <w:pPr>
        <w:ind w:left="-902" w:hanging="400"/>
      </w:pPr>
      <w:rPr>
        <w:rFonts w:ascii="Wingdings" w:hAnsi="Wingdings" w:hint="default"/>
        <w:shd w:val="clear" w:color="auto" w:fill="auto"/>
      </w:rPr>
    </w:lvl>
    <w:lvl w:ilvl="6" w:tplc="440E1E7E">
      <w:start w:val="1"/>
      <w:numFmt w:val="bullet"/>
      <w:lvlText w:val="l"/>
      <w:lvlJc w:val="left"/>
      <w:pPr>
        <w:ind w:left="-502" w:hanging="400"/>
      </w:pPr>
      <w:rPr>
        <w:rFonts w:ascii="Wingdings" w:hAnsi="Wingdings" w:hint="default"/>
        <w:shd w:val="clear" w:color="auto" w:fill="auto"/>
      </w:rPr>
    </w:lvl>
    <w:lvl w:ilvl="7" w:tplc="47CE3406">
      <w:start w:val="1"/>
      <w:numFmt w:val="bullet"/>
      <w:lvlText w:val="n"/>
      <w:lvlJc w:val="left"/>
      <w:pPr>
        <w:ind w:left="-102" w:hanging="400"/>
      </w:pPr>
      <w:rPr>
        <w:rFonts w:ascii="Wingdings" w:hAnsi="Wingdings" w:hint="default"/>
        <w:shd w:val="clear" w:color="auto" w:fill="auto"/>
      </w:rPr>
    </w:lvl>
    <w:lvl w:ilvl="8" w:tplc="3A041574">
      <w:start w:val="1"/>
      <w:numFmt w:val="bullet"/>
      <w:lvlText w:val="u"/>
      <w:lvlJc w:val="left"/>
      <w:pPr>
        <w:ind w:left="298" w:hanging="400"/>
      </w:pPr>
      <w:rPr>
        <w:rFonts w:ascii="Wingdings" w:hAnsi="Wingdings" w:hint="default"/>
        <w:shd w:val="clear" w:color="auto" w:fill="auto"/>
      </w:rPr>
    </w:lvl>
  </w:abstractNum>
  <w:abstractNum w:abstractNumId="1" w15:restartNumberingAfterBreak="0">
    <w:nsid w:val="2F000001"/>
    <w:multiLevelType w:val="hybridMultilevel"/>
    <w:tmpl w:val="1F002411"/>
    <w:lvl w:ilvl="0" w:tplc="7EF61910">
      <w:start w:val="1"/>
      <w:numFmt w:val="bullet"/>
      <w:lvlText w:val="l"/>
      <w:lvlJc w:val="left"/>
      <w:pPr>
        <w:ind w:left="900" w:hanging="400"/>
      </w:pPr>
      <w:rPr>
        <w:rFonts w:ascii="Wingdings" w:eastAsia="Wingdings" w:hAnsi="Wingdings" w:cs="Wingdings" w:hint="default"/>
        <w:shd w:val="clear" w:color="auto" w:fill="auto"/>
      </w:rPr>
    </w:lvl>
    <w:lvl w:ilvl="1" w:tplc="BF745610">
      <w:start w:val="1"/>
      <w:numFmt w:val="bullet"/>
      <w:lvlText w:val="n"/>
      <w:lvlJc w:val="left"/>
      <w:pPr>
        <w:ind w:left="1300" w:hanging="400"/>
      </w:pPr>
      <w:rPr>
        <w:rFonts w:ascii="Wingdings" w:eastAsia="Wingdings" w:hAnsi="Wingdings" w:cs="Wingdings" w:hint="default"/>
        <w:shd w:val="clear" w:color="auto" w:fill="auto"/>
      </w:rPr>
    </w:lvl>
    <w:lvl w:ilvl="2" w:tplc="094A99C6">
      <w:start w:val="1"/>
      <w:numFmt w:val="bullet"/>
      <w:lvlText w:val="u"/>
      <w:lvlJc w:val="left"/>
      <w:pPr>
        <w:ind w:left="1700" w:hanging="400"/>
      </w:pPr>
      <w:rPr>
        <w:rFonts w:ascii="Wingdings" w:eastAsia="Wingdings" w:hAnsi="Wingdings" w:cs="Wingdings" w:hint="default"/>
        <w:shd w:val="clear" w:color="auto" w:fill="auto"/>
      </w:rPr>
    </w:lvl>
    <w:lvl w:ilvl="3" w:tplc="BA4EDACA">
      <w:start w:val="1"/>
      <w:numFmt w:val="bullet"/>
      <w:lvlText w:val="l"/>
      <w:lvlJc w:val="left"/>
      <w:pPr>
        <w:ind w:left="2100" w:hanging="400"/>
      </w:pPr>
      <w:rPr>
        <w:rFonts w:ascii="Wingdings" w:eastAsia="Wingdings" w:hAnsi="Wingdings" w:cs="Wingdings" w:hint="default"/>
        <w:shd w:val="clear" w:color="auto" w:fill="auto"/>
      </w:rPr>
    </w:lvl>
    <w:lvl w:ilvl="4" w:tplc="1F008C9A">
      <w:start w:val="1"/>
      <w:numFmt w:val="bullet"/>
      <w:lvlText w:val="n"/>
      <w:lvlJc w:val="left"/>
      <w:pPr>
        <w:ind w:left="2500" w:hanging="400"/>
      </w:pPr>
      <w:rPr>
        <w:rFonts w:ascii="Wingdings" w:eastAsia="Wingdings" w:hAnsi="Wingdings" w:cs="Wingdings" w:hint="default"/>
        <w:shd w:val="clear" w:color="auto" w:fill="auto"/>
      </w:rPr>
    </w:lvl>
    <w:lvl w:ilvl="5" w:tplc="6646EE4E">
      <w:start w:val="1"/>
      <w:numFmt w:val="bullet"/>
      <w:lvlText w:val="u"/>
      <w:lvlJc w:val="left"/>
      <w:pPr>
        <w:ind w:left="2900" w:hanging="400"/>
      </w:pPr>
      <w:rPr>
        <w:rFonts w:ascii="Wingdings" w:eastAsia="Wingdings" w:hAnsi="Wingdings" w:cs="Wingdings" w:hint="default"/>
        <w:shd w:val="clear" w:color="auto" w:fill="auto"/>
      </w:rPr>
    </w:lvl>
    <w:lvl w:ilvl="6" w:tplc="C1F08F5C">
      <w:start w:val="1"/>
      <w:numFmt w:val="bullet"/>
      <w:lvlText w:val="l"/>
      <w:lvlJc w:val="left"/>
      <w:pPr>
        <w:ind w:left="3300" w:hanging="400"/>
      </w:pPr>
      <w:rPr>
        <w:rFonts w:ascii="Wingdings" w:eastAsia="Wingdings" w:hAnsi="Wingdings" w:cs="Wingdings" w:hint="default"/>
        <w:shd w:val="clear" w:color="auto" w:fill="auto"/>
      </w:rPr>
    </w:lvl>
    <w:lvl w:ilvl="7" w:tplc="301E5AE6">
      <w:start w:val="1"/>
      <w:numFmt w:val="bullet"/>
      <w:lvlText w:val="n"/>
      <w:lvlJc w:val="left"/>
      <w:pPr>
        <w:ind w:left="3700" w:hanging="400"/>
      </w:pPr>
      <w:rPr>
        <w:rFonts w:ascii="Wingdings" w:eastAsia="Wingdings" w:hAnsi="Wingdings" w:cs="Wingdings" w:hint="default"/>
        <w:shd w:val="clear" w:color="auto" w:fill="auto"/>
      </w:rPr>
    </w:lvl>
    <w:lvl w:ilvl="8" w:tplc="C1B60D78">
      <w:start w:val="1"/>
      <w:numFmt w:val="bullet"/>
      <w:lvlText w:val="u"/>
      <w:lvlJc w:val="left"/>
      <w:pPr>
        <w:ind w:left="4100" w:hanging="400"/>
      </w:pPr>
      <w:rPr>
        <w:rFonts w:ascii="Wingdings" w:eastAsia="Wingdings" w:hAnsi="Wingdings" w:cs="Wingdings" w:hint="default"/>
        <w:shd w:val="clear" w:color="auto" w:fill="auto"/>
      </w:rPr>
    </w:lvl>
  </w:abstractNum>
  <w:abstractNum w:abstractNumId="2" w15:restartNumberingAfterBreak="0">
    <w:nsid w:val="2F000002"/>
    <w:multiLevelType w:val="hybridMultilevel"/>
    <w:tmpl w:val="1F000C5F"/>
    <w:lvl w:ilvl="0" w:tplc="7242D614">
      <w:start w:val="1"/>
      <w:numFmt w:val="bullet"/>
      <w:lvlText w:val="l"/>
      <w:lvlJc w:val="left"/>
      <w:pPr>
        <w:ind w:left="900" w:hanging="400"/>
      </w:pPr>
      <w:rPr>
        <w:rFonts w:ascii="Wingdings" w:eastAsia="Wingdings" w:hAnsi="Wingdings" w:cs="Wingdings" w:hint="default"/>
        <w:shd w:val="clear" w:color="auto" w:fill="auto"/>
      </w:rPr>
    </w:lvl>
    <w:lvl w:ilvl="1" w:tplc="422C04F0">
      <w:start w:val="1"/>
      <w:numFmt w:val="bullet"/>
      <w:lvlText w:val="n"/>
      <w:lvlJc w:val="left"/>
      <w:pPr>
        <w:ind w:left="1300" w:hanging="400"/>
      </w:pPr>
      <w:rPr>
        <w:rFonts w:ascii="Wingdings" w:eastAsia="Wingdings" w:hAnsi="Wingdings" w:cs="Wingdings" w:hint="default"/>
        <w:shd w:val="clear" w:color="auto" w:fill="auto"/>
      </w:rPr>
    </w:lvl>
    <w:lvl w:ilvl="2" w:tplc="DB3045C6">
      <w:start w:val="1"/>
      <w:numFmt w:val="bullet"/>
      <w:lvlText w:val="u"/>
      <w:lvlJc w:val="left"/>
      <w:pPr>
        <w:ind w:left="1700" w:hanging="400"/>
      </w:pPr>
      <w:rPr>
        <w:rFonts w:ascii="Wingdings" w:eastAsia="Wingdings" w:hAnsi="Wingdings" w:cs="Wingdings" w:hint="default"/>
        <w:shd w:val="clear" w:color="auto" w:fill="auto"/>
      </w:rPr>
    </w:lvl>
    <w:lvl w:ilvl="3" w:tplc="2160D862">
      <w:start w:val="1"/>
      <w:numFmt w:val="bullet"/>
      <w:lvlText w:val="l"/>
      <w:lvlJc w:val="left"/>
      <w:pPr>
        <w:ind w:left="2100" w:hanging="400"/>
      </w:pPr>
      <w:rPr>
        <w:rFonts w:ascii="Wingdings" w:eastAsia="Wingdings" w:hAnsi="Wingdings" w:cs="Wingdings" w:hint="default"/>
        <w:shd w:val="clear" w:color="auto" w:fill="auto"/>
      </w:rPr>
    </w:lvl>
    <w:lvl w:ilvl="4" w:tplc="AB8C9EB4">
      <w:start w:val="1"/>
      <w:numFmt w:val="bullet"/>
      <w:lvlText w:val="n"/>
      <w:lvlJc w:val="left"/>
      <w:pPr>
        <w:ind w:left="2500" w:hanging="400"/>
      </w:pPr>
      <w:rPr>
        <w:rFonts w:ascii="Wingdings" w:eastAsia="Wingdings" w:hAnsi="Wingdings" w:cs="Wingdings" w:hint="default"/>
        <w:shd w:val="clear" w:color="auto" w:fill="auto"/>
      </w:rPr>
    </w:lvl>
    <w:lvl w:ilvl="5" w:tplc="F74016CE">
      <w:start w:val="1"/>
      <w:numFmt w:val="bullet"/>
      <w:lvlText w:val="u"/>
      <w:lvlJc w:val="left"/>
      <w:pPr>
        <w:ind w:left="2900" w:hanging="400"/>
      </w:pPr>
      <w:rPr>
        <w:rFonts w:ascii="Wingdings" w:eastAsia="Wingdings" w:hAnsi="Wingdings" w:cs="Wingdings" w:hint="default"/>
        <w:shd w:val="clear" w:color="auto" w:fill="auto"/>
      </w:rPr>
    </w:lvl>
    <w:lvl w:ilvl="6" w:tplc="31EC9034">
      <w:start w:val="1"/>
      <w:numFmt w:val="bullet"/>
      <w:lvlText w:val="l"/>
      <w:lvlJc w:val="left"/>
      <w:pPr>
        <w:ind w:left="3300" w:hanging="400"/>
      </w:pPr>
      <w:rPr>
        <w:rFonts w:ascii="Wingdings" w:eastAsia="Wingdings" w:hAnsi="Wingdings" w:cs="Wingdings" w:hint="default"/>
        <w:shd w:val="clear" w:color="auto" w:fill="auto"/>
      </w:rPr>
    </w:lvl>
    <w:lvl w:ilvl="7" w:tplc="B0DED3F4">
      <w:start w:val="1"/>
      <w:numFmt w:val="bullet"/>
      <w:lvlText w:val="n"/>
      <w:lvlJc w:val="left"/>
      <w:pPr>
        <w:ind w:left="3700" w:hanging="400"/>
      </w:pPr>
      <w:rPr>
        <w:rFonts w:ascii="Wingdings" w:eastAsia="Wingdings" w:hAnsi="Wingdings" w:cs="Wingdings" w:hint="default"/>
        <w:shd w:val="clear" w:color="auto" w:fill="auto"/>
      </w:rPr>
    </w:lvl>
    <w:lvl w:ilvl="8" w:tplc="E7146D7E">
      <w:start w:val="1"/>
      <w:numFmt w:val="bullet"/>
      <w:lvlText w:val="u"/>
      <w:lvlJc w:val="left"/>
      <w:pPr>
        <w:ind w:left="4100" w:hanging="400"/>
      </w:pPr>
      <w:rPr>
        <w:rFonts w:ascii="Wingdings" w:eastAsia="Wingdings" w:hAnsi="Wingdings" w:cs="Wingdings" w:hint="default"/>
        <w:shd w:val="clear" w:color="auto" w:fill="auto"/>
      </w:rPr>
    </w:lvl>
  </w:abstractNum>
  <w:abstractNum w:abstractNumId="3" w15:restartNumberingAfterBreak="0">
    <w:nsid w:val="2F000003"/>
    <w:multiLevelType w:val="hybridMultilevel"/>
    <w:tmpl w:val="1F0033C2"/>
    <w:lvl w:ilvl="0" w:tplc="46BC18D6">
      <w:start w:val="1"/>
      <w:numFmt w:val="bullet"/>
      <w:lvlText w:val="l"/>
      <w:lvlJc w:val="left"/>
      <w:pPr>
        <w:ind w:left="900" w:hanging="400"/>
      </w:pPr>
      <w:rPr>
        <w:rFonts w:ascii="Wingdings" w:eastAsia="Wingdings" w:hAnsi="Wingdings" w:cs="Wingdings" w:hint="default"/>
        <w:shd w:val="clear" w:color="auto" w:fill="auto"/>
      </w:rPr>
    </w:lvl>
    <w:lvl w:ilvl="1" w:tplc="25208D3C">
      <w:start w:val="1"/>
      <w:numFmt w:val="bullet"/>
      <w:lvlText w:val="n"/>
      <w:lvlJc w:val="left"/>
      <w:pPr>
        <w:ind w:left="1300" w:hanging="400"/>
      </w:pPr>
      <w:rPr>
        <w:rFonts w:ascii="Wingdings" w:eastAsia="Wingdings" w:hAnsi="Wingdings" w:cs="Wingdings" w:hint="default"/>
        <w:shd w:val="clear" w:color="auto" w:fill="auto"/>
      </w:rPr>
    </w:lvl>
    <w:lvl w:ilvl="2" w:tplc="C854C1A2">
      <w:start w:val="1"/>
      <w:numFmt w:val="bullet"/>
      <w:lvlText w:val="u"/>
      <w:lvlJc w:val="left"/>
      <w:pPr>
        <w:ind w:left="1700" w:hanging="400"/>
      </w:pPr>
      <w:rPr>
        <w:rFonts w:ascii="Wingdings" w:eastAsia="Wingdings" w:hAnsi="Wingdings" w:cs="Wingdings" w:hint="default"/>
        <w:shd w:val="clear" w:color="auto" w:fill="auto"/>
      </w:rPr>
    </w:lvl>
    <w:lvl w:ilvl="3" w:tplc="E174D33E">
      <w:start w:val="1"/>
      <w:numFmt w:val="bullet"/>
      <w:lvlText w:val="l"/>
      <w:lvlJc w:val="left"/>
      <w:pPr>
        <w:ind w:left="2100" w:hanging="400"/>
      </w:pPr>
      <w:rPr>
        <w:rFonts w:ascii="Wingdings" w:eastAsia="Wingdings" w:hAnsi="Wingdings" w:cs="Wingdings" w:hint="default"/>
        <w:shd w:val="clear" w:color="auto" w:fill="auto"/>
      </w:rPr>
    </w:lvl>
    <w:lvl w:ilvl="4" w:tplc="A1EC7176">
      <w:start w:val="1"/>
      <w:numFmt w:val="bullet"/>
      <w:lvlText w:val="n"/>
      <w:lvlJc w:val="left"/>
      <w:pPr>
        <w:ind w:left="2500" w:hanging="400"/>
      </w:pPr>
      <w:rPr>
        <w:rFonts w:ascii="Wingdings" w:eastAsia="Wingdings" w:hAnsi="Wingdings" w:cs="Wingdings" w:hint="default"/>
        <w:shd w:val="clear" w:color="auto" w:fill="auto"/>
      </w:rPr>
    </w:lvl>
    <w:lvl w:ilvl="5" w:tplc="15268F88">
      <w:start w:val="1"/>
      <w:numFmt w:val="bullet"/>
      <w:lvlText w:val="u"/>
      <w:lvlJc w:val="left"/>
      <w:pPr>
        <w:ind w:left="2900" w:hanging="400"/>
      </w:pPr>
      <w:rPr>
        <w:rFonts w:ascii="Wingdings" w:eastAsia="Wingdings" w:hAnsi="Wingdings" w:cs="Wingdings" w:hint="default"/>
        <w:shd w:val="clear" w:color="auto" w:fill="auto"/>
      </w:rPr>
    </w:lvl>
    <w:lvl w:ilvl="6" w:tplc="C866A9AE">
      <w:start w:val="1"/>
      <w:numFmt w:val="bullet"/>
      <w:lvlText w:val="l"/>
      <w:lvlJc w:val="left"/>
      <w:pPr>
        <w:ind w:left="3300" w:hanging="400"/>
      </w:pPr>
      <w:rPr>
        <w:rFonts w:ascii="Wingdings" w:eastAsia="Wingdings" w:hAnsi="Wingdings" w:cs="Wingdings" w:hint="default"/>
        <w:shd w:val="clear" w:color="auto" w:fill="auto"/>
      </w:rPr>
    </w:lvl>
    <w:lvl w:ilvl="7" w:tplc="286C168C">
      <w:start w:val="1"/>
      <w:numFmt w:val="bullet"/>
      <w:lvlText w:val="n"/>
      <w:lvlJc w:val="left"/>
      <w:pPr>
        <w:ind w:left="3700" w:hanging="400"/>
      </w:pPr>
      <w:rPr>
        <w:rFonts w:ascii="Wingdings" w:eastAsia="Wingdings" w:hAnsi="Wingdings" w:cs="Wingdings" w:hint="default"/>
        <w:shd w:val="clear" w:color="auto" w:fill="auto"/>
      </w:rPr>
    </w:lvl>
    <w:lvl w:ilvl="8" w:tplc="4C084E8A">
      <w:start w:val="1"/>
      <w:numFmt w:val="bullet"/>
      <w:lvlText w:val="u"/>
      <w:lvlJc w:val="left"/>
      <w:pPr>
        <w:ind w:left="4100" w:hanging="400"/>
      </w:pPr>
      <w:rPr>
        <w:rFonts w:ascii="Wingdings" w:eastAsia="Wingdings" w:hAnsi="Wingdings" w:cs="Wingdings" w:hint="default"/>
        <w:shd w:val="clear" w:color="auto" w:fill="auto"/>
      </w:rPr>
    </w:lvl>
  </w:abstractNum>
  <w:num w:numId="1">
    <w:abstractNumId w:val="1"/>
  </w:num>
  <w:num w:numId="2">
    <w:abstractNumId w:val="0"/>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A8"/>
    <w:rsid w:val="003870A8"/>
    <w:rsid w:val="003A57F4"/>
    <w:rsid w:val="003D1F70"/>
    <w:rsid w:val="0047493F"/>
    <w:rsid w:val="004A6F6B"/>
    <w:rsid w:val="008B2EE1"/>
    <w:rsid w:val="00D235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7459"/>
  <w15:docId w15:val="{E7DDF7A7-0B3E-414E-8B91-988BE888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wordWrap w:val="0"/>
      <w:autoSpaceDE w:val="0"/>
      <w:autoSpaceDN w:val="0"/>
      <w:spacing w:after="0" w:line="360" w:lineRule="atLeast"/>
      <w:ind w:firstLineChars="100" w:firstLine="100"/>
    </w:pPr>
    <w:rPr>
      <w:rFonts w:ascii="맑은 고딕" w:eastAsia="맑은 고딕" w:hAnsi="맑은 고딕" w:cs="Times New Roman"/>
    </w:rPr>
  </w:style>
  <w:style w:type="paragraph" w:styleId="a4">
    <w:name w:val="List Paragraph"/>
    <w:basedOn w:val="a"/>
    <w:uiPriority w:val="99"/>
    <w:qFormat/>
    <w:pPr>
      <w:spacing w:after="0" w:line="360" w:lineRule="atLeast"/>
      <w:ind w:leftChars="400" w:left="800" w:firstLineChars="100" w:firstLine="100"/>
    </w:pPr>
    <w:rPr>
      <w:rFonts w:ascii="맑은 고딕" w:eastAsia="맑은 고딕" w:hAnsi="맑은 고딕" w:cs="Times New Roman"/>
    </w:rPr>
  </w:style>
  <w:style w:type="table" w:styleId="a5">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
    <w:name w:val="Plain Table 1"/>
    <w:basedOn w:val="a1"/>
    <w:uiPriority w:val="41"/>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2">
    <w:name w:val="Plain Table 2"/>
    <w:basedOn w:val="a1"/>
    <w:uiPriority w:val="42"/>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
    <w:name w:val="Plain Table 3"/>
    <w:basedOn w:val="a1"/>
    <w:uiPriority w:val="43"/>
    <w:pPr>
      <w:spacing w:after="0" w:line="240" w:lineRule="auto"/>
    </w:pPr>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pPr>
      <w:spacing w:after="0" w:line="240" w:lineRule="auto"/>
    </w:pPr>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5">
    <w:name w:val="Plain Table 5"/>
    <w:basedOn w:val="a1"/>
    <w:uiPriority w:val="45"/>
    <w:pPr>
      <w:spacing w:after="0" w:line="240" w:lineRule="auto"/>
    </w:pPr>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0">
    <w:name w:val="Grid Table 1 Light"/>
    <w:basedOn w:val="a1"/>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shd w:val="clear" w:color="auto" w:fill="auto"/>
      </w:rPr>
      <w:tblPr/>
      <w:tcPr>
        <w:tcBorders>
          <w:bottom w:val="single" w:sz="12" w:space="0" w:color="9CC2E5" w:themeColor="accent1" w:themeTint="99"/>
        </w:tcBorders>
      </w:tcPr>
    </w:tblStylePr>
    <w:tblStylePr w:type="lastRow">
      <w:rPr>
        <w:b/>
        <w:shd w:val="clear" w:color="auto" w:fill="auto"/>
      </w:rPr>
      <w:tblPr/>
      <w:tcPr>
        <w:tcBorders>
          <w:top w:val="double" w:sz="2" w:space="0" w:color="9CC2E5"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shd w:val="clear" w:color="auto" w:fill="auto"/>
      </w:rPr>
      <w:tblPr/>
      <w:tcPr>
        <w:tcBorders>
          <w:bottom w:val="single" w:sz="12" w:space="0" w:color="F4B083" w:themeColor="accent2" w:themeTint="99"/>
        </w:tcBorders>
      </w:tcPr>
    </w:tblStylePr>
    <w:tblStylePr w:type="lastRow">
      <w:rPr>
        <w:b/>
        <w:shd w:val="clear" w:color="auto" w:fill="auto"/>
      </w:rPr>
      <w:tblPr/>
      <w:tcPr>
        <w:tcBorders>
          <w:top w:val="double" w:sz="2" w:space="0" w:color="F4B083"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shd w:val="clear" w:color="auto" w:fill="auto"/>
      </w:rPr>
      <w:tblPr/>
      <w:tcPr>
        <w:tcBorders>
          <w:bottom w:val="single" w:sz="12" w:space="0" w:color="C9C9C9" w:themeColor="accent3" w:themeTint="99"/>
        </w:tcBorders>
      </w:tcPr>
    </w:tblStylePr>
    <w:tblStylePr w:type="lastRow">
      <w:rPr>
        <w:b/>
        <w:shd w:val="clear" w:color="auto" w:fill="auto"/>
      </w:rPr>
      <w:tblPr/>
      <w:tcPr>
        <w:tcBorders>
          <w:top w:val="double" w:sz="2" w:space="0" w:color="C9C9C9"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shd w:val="clear" w:color="auto" w:fill="auto"/>
      </w:rPr>
      <w:tblPr/>
      <w:tcPr>
        <w:tcBorders>
          <w:bottom w:val="single" w:sz="12" w:space="0" w:color="FFD966" w:themeColor="accent4" w:themeTint="99"/>
        </w:tcBorders>
      </w:tcPr>
    </w:tblStylePr>
    <w:tblStylePr w:type="lastRow">
      <w:rPr>
        <w:b/>
        <w:shd w:val="clear" w:color="auto" w:fill="auto"/>
      </w:rPr>
      <w:tblPr/>
      <w:tcPr>
        <w:tcBorders>
          <w:top w:val="double" w:sz="2" w:space="0" w:color="FFD966"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shd w:val="clear" w:color="auto" w:fill="auto"/>
      </w:rPr>
      <w:tblPr/>
      <w:tcPr>
        <w:tcBorders>
          <w:bottom w:val="single" w:sz="12" w:space="0" w:color="8EAADB" w:themeColor="accent5" w:themeTint="99"/>
        </w:tcBorders>
      </w:tcPr>
    </w:tblStylePr>
    <w:tblStylePr w:type="lastRow">
      <w:rPr>
        <w:b/>
        <w:shd w:val="clear" w:color="auto" w:fill="auto"/>
      </w:rPr>
      <w:tblPr/>
      <w:tcPr>
        <w:tcBorders>
          <w:top w:val="double" w:sz="2" w:space="0" w:color="8EAADB"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shd w:val="clear" w:color="auto" w:fill="auto"/>
      </w:rPr>
      <w:tblPr/>
      <w:tcPr>
        <w:tcBorders>
          <w:bottom w:val="single" w:sz="12" w:space="0" w:color="A8D08D" w:themeColor="accent6" w:themeTint="99"/>
        </w:tcBorders>
      </w:tcPr>
    </w:tblStylePr>
    <w:tblStylePr w:type="lastRow">
      <w:rPr>
        <w:b/>
        <w:shd w:val="clear" w:color="auto" w:fill="auto"/>
      </w:rPr>
      <w:tblPr/>
      <w:tcPr>
        <w:tcBorders>
          <w:top w:val="double" w:sz="2" w:space="0" w:color="A8D08D" w:themeColor="accent6" w:themeTint="99"/>
        </w:tcBorders>
      </w:tcPr>
    </w:tblStylePr>
    <w:tblStylePr w:type="firstCol">
      <w:rPr>
        <w:b/>
        <w:shd w:val="clear" w:color="auto" w:fill="auto"/>
      </w:rPr>
    </w:tblStylePr>
    <w:tblStylePr w:type="lastCol">
      <w:rPr>
        <w:b/>
        <w:shd w:val="clear" w:color="auto" w:fill="auto"/>
      </w:rPr>
    </w:tblStylePr>
  </w:style>
  <w:style w:type="table" w:styleId="20">
    <w:name w:val="Grid Table 2"/>
    <w:basedOn w:val="a1"/>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
    <w:name w:val="Grid Table 2 Accent 1"/>
    <w:basedOn w:val="a1"/>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2-2">
    <w:name w:val="Grid Table 2 Accent 2"/>
    <w:basedOn w:val="a1"/>
    <w:uiPriority w:val="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2-3">
    <w:name w:val="Grid Table 2 Accent 3"/>
    <w:basedOn w:val="a1"/>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2-4">
    <w:name w:val="Grid Table 2 Accent 4"/>
    <w:basedOn w:val="a1"/>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2-5">
    <w:name w:val="Grid Table 2 Accent 5"/>
    <w:basedOn w:val="a1"/>
    <w:uiPriority w:val="4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2-6">
    <w:name w:val="Grid Table 2 Accent 6"/>
    <w:basedOn w:val="a1"/>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30">
    <w:name w:val="Grid Table 3"/>
    <w:basedOn w:val="a1"/>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1"/>
    <w:uiPriority w:val="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1"/>
    <w:uiPriority w:val="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1"/>
    <w:uiPriority w:val="4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1"/>
    <w:uiPriority w:val="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1"/>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0">
    <w:name w:val="Grid Table 4"/>
    <w:basedOn w:val="a1"/>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
    <w:name w:val="Grid Table 4 Accent 1"/>
    <w:basedOn w:val="a1"/>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shd w:val="clear" w:color="auto" w:fill="auto"/>
      </w:rPr>
      <w:tblPr/>
      <w:tcPr>
        <w:tcBorders>
          <w:top w:val="double" w:sz="4" w:space="0" w:color="5B9BD5"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4-2">
    <w:name w:val="Grid Table 4 Accent 2"/>
    <w:basedOn w:val="a1"/>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shd w:val="clear" w:color="auto" w:fill="auto"/>
      </w:rPr>
      <w:tblPr/>
      <w:tcPr>
        <w:tcBorders>
          <w:top w:val="double" w:sz="4" w:space="0" w:color="ED7D31"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4-3">
    <w:name w:val="Grid Table 4 Accent 3"/>
    <w:basedOn w:val="a1"/>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shd w:val="clear" w:color="auto" w:fill="auto"/>
      </w:rPr>
      <w:tblPr/>
      <w:tcPr>
        <w:tcBorders>
          <w:top w:val="double" w:sz="4" w:space="0" w:color="A5A5A5"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4-4">
    <w:name w:val="Grid Table 4 Accent 4"/>
    <w:basedOn w:val="a1"/>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shd w:val="clear" w:color="auto" w:fill="auto"/>
      </w:rPr>
      <w:tblPr/>
      <w:tcPr>
        <w:tcBorders>
          <w:top w:val="double" w:sz="4" w:space="0" w:color="FFC000"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4-5">
    <w:name w:val="Grid Table 4 Accent 5"/>
    <w:basedOn w:val="a1"/>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shd w:val="clear" w:color="auto" w:fill="auto"/>
      </w:rPr>
      <w:tblPr/>
      <w:tcPr>
        <w:tcBorders>
          <w:top w:val="double" w:sz="4" w:space="0" w:color="4472C4"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4-6">
    <w:name w:val="Grid Table 4 Accent 6"/>
    <w:basedOn w:val="a1"/>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shd w:val="clear" w:color="auto" w:fill="auto"/>
      </w:rPr>
      <w:tblPr/>
      <w:tcPr>
        <w:tcBorders>
          <w:top w:val="double" w:sz="4" w:space="0" w:color="70AD47"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50">
    <w:name w:val="Grid Table 5 Dark"/>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styleId="5-1">
    <w:name w:val="Grid Table 5 Dark Accent 1"/>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styleId="5-2">
    <w:name w:val="Grid Table 5 Dark Accent 2"/>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styleId="5-3">
    <w:name w:val="Grid Table 5 Dark Accent 3"/>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styleId="5-4">
    <w:name w:val="Grid Table 5 Dark Accent 4"/>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styleId="5-5">
    <w:name w:val="Grid Table 5 Dark Accent 5"/>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styleId="5-6">
    <w:name w:val="Grid Table 5 Dark Accent 6"/>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styleId="6">
    <w:name w:val="Grid Table 6 Colorful"/>
    <w:basedOn w:val="a1"/>
    <w:uiPriority w:val="51"/>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
    <w:name w:val="Grid Table 6 Colorful Accent 1"/>
    <w:basedOn w:val="a1"/>
    <w:uiPriority w:val="51"/>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bottom w:val="single" w:sz="12" w:space="0" w:color="9CC2E5" w:themeColor="accent1" w:themeTint="99"/>
        </w:tcBorders>
      </w:tcPr>
    </w:tblStylePr>
    <w:tblStylePr w:type="lastRow">
      <w:rPr>
        <w:b/>
        <w:shd w:val="clear" w:color="auto" w:fill="auto"/>
      </w:rPr>
      <w:tblPr/>
      <w:tcPr>
        <w:tcBorders>
          <w:top w:val="doub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6-2">
    <w:name w:val="Grid Table 6 Colorful Accent 2"/>
    <w:basedOn w:val="a1"/>
    <w:uiPriority w:val="51"/>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bottom w:val="single" w:sz="12" w:space="0" w:color="F4B083" w:themeColor="accent2" w:themeTint="99"/>
        </w:tcBorders>
      </w:tcPr>
    </w:tblStylePr>
    <w:tblStylePr w:type="lastRow">
      <w:rPr>
        <w:b/>
        <w:shd w:val="clear" w:color="auto" w:fill="auto"/>
      </w:rPr>
      <w:tblPr/>
      <w:tcPr>
        <w:tcBorders>
          <w:top w:val="doub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6-3">
    <w:name w:val="Grid Table 6 Colorful Accent 3"/>
    <w:basedOn w:val="a1"/>
    <w:uiPriority w:val="51"/>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bottom w:val="single" w:sz="12" w:space="0" w:color="C9C9C9" w:themeColor="accent3" w:themeTint="99"/>
        </w:tcBorders>
      </w:tcPr>
    </w:tblStylePr>
    <w:tblStylePr w:type="lastRow">
      <w:rPr>
        <w:b/>
        <w:shd w:val="clear" w:color="auto" w:fill="auto"/>
      </w:rPr>
      <w:tblPr/>
      <w:tcPr>
        <w:tcBorders>
          <w:top w:val="doub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6-4">
    <w:name w:val="Grid Table 6 Colorful Accent 4"/>
    <w:basedOn w:val="a1"/>
    <w:uiPriority w:val="51"/>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bottom w:val="single" w:sz="12" w:space="0" w:color="FFD966" w:themeColor="accent4" w:themeTint="99"/>
        </w:tcBorders>
      </w:tcPr>
    </w:tblStylePr>
    <w:tblStylePr w:type="lastRow">
      <w:rPr>
        <w:b/>
        <w:shd w:val="clear" w:color="auto" w:fill="auto"/>
      </w:rPr>
      <w:tblPr/>
      <w:tcPr>
        <w:tcBorders>
          <w:top w:val="doub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6-5">
    <w:name w:val="Grid Table 6 Colorful Accent 5"/>
    <w:basedOn w:val="a1"/>
    <w:uiPriority w:val="51"/>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bottom w:val="single" w:sz="12" w:space="0" w:color="8EAADB" w:themeColor="accent5" w:themeTint="99"/>
        </w:tcBorders>
      </w:tcPr>
    </w:tblStylePr>
    <w:tblStylePr w:type="lastRow">
      <w:rPr>
        <w:b/>
        <w:shd w:val="clear" w:color="auto" w:fill="auto"/>
      </w:rPr>
      <w:tblPr/>
      <w:tcPr>
        <w:tcBorders>
          <w:top w:val="doub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6-6">
    <w:name w:val="Grid Table 6 Colorful Accent 6"/>
    <w:basedOn w:val="a1"/>
    <w:uiPriority w:val="51"/>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bottom w:val="single" w:sz="12" w:space="0" w:color="A8D08D" w:themeColor="accent6" w:themeTint="99"/>
        </w:tcBorders>
      </w:tcPr>
    </w:tblStylePr>
    <w:tblStylePr w:type="lastRow">
      <w:rPr>
        <w:b/>
        <w:shd w:val="clear" w:color="auto" w:fill="auto"/>
      </w:rPr>
      <w:tblPr/>
      <w:tcPr>
        <w:tcBorders>
          <w:top w:val="doub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7">
    <w:name w:val="Grid Table 7 Colorful"/>
    <w:basedOn w:val="a1"/>
    <w:uiPriority w:val="52"/>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1"/>
    <w:uiPriority w:val="52"/>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1"/>
    <w:uiPriority w:val="52"/>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1"/>
    <w:uiPriority w:val="52"/>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1"/>
    <w:uiPriority w:val="52"/>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1"/>
    <w:uiPriority w:val="52"/>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1">
    <w:name w:val="List Table 1 Light"/>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1-10">
    <w:name w:val="List Table 1 Light Accent 1"/>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9CC2E5" w:themeColor="accent1" w:themeTint="99"/>
        </w:tcBorders>
      </w:tcPr>
    </w:tblStylePr>
    <w:tblStylePr w:type="lastRow">
      <w:rPr>
        <w:b/>
        <w:shd w:val="clear" w:color="auto" w:fill="auto"/>
      </w:rPr>
      <w:tblPr/>
      <w:tcPr>
        <w:tcBorders>
          <w:top w:val="sing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1-20">
    <w:name w:val="List Table 1 Light Accent 2"/>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F4B083" w:themeColor="accent2" w:themeTint="99"/>
        </w:tcBorders>
      </w:tcPr>
    </w:tblStylePr>
    <w:tblStylePr w:type="lastRow">
      <w:rPr>
        <w:b/>
        <w:shd w:val="clear" w:color="auto" w:fill="auto"/>
      </w:rPr>
      <w:tblPr/>
      <w:tcPr>
        <w:tcBorders>
          <w:top w:val="sing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1-30">
    <w:name w:val="List Table 1 Light Accent 3"/>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C9C9C9" w:themeColor="accent3" w:themeTint="99"/>
        </w:tcBorders>
      </w:tcPr>
    </w:tblStylePr>
    <w:tblStylePr w:type="lastRow">
      <w:rPr>
        <w:b/>
        <w:shd w:val="clear" w:color="auto" w:fill="auto"/>
      </w:rPr>
      <w:tblPr/>
      <w:tcPr>
        <w:tcBorders>
          <w:top w:val="sing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1-40">
    <w:name w:val="List Table 1 Light Accent 4"/>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FFD966" w:themeColor="accent4" w:themeTint="99"/>
        </w:tcBorders>
      </w:tcPr>
    </w:tblStylePr>
    <w:tblStylePr w:type="lastRow">
      <w:rPr>
        <w:b/>
        <w:shd w:val="clear" w:color="auto" w:fill="auto"/>
      </w:rPr>
      <w:tblPr/>
      <w:tcPr>
        <w:tcBorders>
          <w:top w:val="sing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1-50">
    <w:name w:val="List Table 1 Light Accent 5"/>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8EAADB" w:themeColor="accent5" w:themeTint="99"/>
        </w:tcBorders>
      </w:tcPr>
    </w:tblStylePr>
    <w:tblStylePr w:type="lastRow">
      <w:rPr>
        <w:b/>
        <w:shd w:val="clear" w:color="auto" w:fill="auto"/>
      </w:rPr>
      <w:tblPr/>
      <w:tcPr>
        <w:tcBorders>
          <w:top w:val="sing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1-60">
    <w:name w:val="List Table 1 Light Accent 6"/>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A8D08D" w:themeColor="accent6" w:themeTint="99"/>
        </w:tcBorders>
      </w:tcPr>
    </w:tblStylePr>
    <w:tblStylePr w:type="lastRow">
      <w:rPr>
        <w:b/>
        <w:shd w:val="clear" w:color="auto" w:fill="auto"/>
      </w:rPr>
      <w:tblPr/>
      <w:tcPr>
        <w:tcBorders>
          <w:top w:val="sing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21">
    <w:name w:val="List Table 2"/>
    <w:basedOn w:val="a1"/>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0">
    <w:name w:val="List Table 2 Accent 1"/>
    <w:basedOn w:val="a1"/>
    <w:uiPriority w:val="4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2-20">
    <w:name w:val="List Table 2 Accent 2"/>
    <w:basedOn w:val="a1"/>
    <w:uiPriority w:val="4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2-30">
    <w:name w:val="List Table 2 Accent 3"/>
    <w:basedOn w:val="a1"/>
    <w:uiPriority w:val="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2-40">
    <w:name w:val="List Table 2 Accent 4"/>
    <w:basedOn w:val="a1"/>
    <w:uiPriority w:val="4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2-50">
    <w:name w:val="List Table 2 Accent 5"/>
    <w:basedOn w:val="a1"/>
    <w:uiPriority w:val="4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2-60">
    <w:name w:val="List Table 2 Accent 6"/>
    <w:basedOn w:val="a1"/>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31">
    <w:name w:val="List Table 3"/>
    <w:basedOn w:val="a1"/>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000000" w:fill="000000" w:themeFill="text1"/>
      </w:tcPr>
    </w:tblStylePr>
    <w:tblStylePr w:type="lastRow">
      <w:rPr>
        <w:b/>
        <w:shd w:val="clear" w:color="auto" w:fill="auto"/>
      </w:rPr>
      <w:tblPr/>
      <w:tcPr>
        <w:tcBorders>
          <w:top w:val="double" w:sz="4" w:space="0" w:color="000000" w:themeColor="text1"/>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shd w:val="clear" w:color="auto" w:fill="auto"/>
      </w:rPr>
      <w:tblPr/>
      <w:tcPr>
        <w:shd w:val="clear" w:color="000000" w:fill="5B9BD5" w:themeFill="accent1"/>
      </w:tcPr>
    </w:tblStylePr>
    <w:tblStylePr w:type="lastRow">
      <w:rPr>
        <w:b/>
        <w:shd w:val="clear" w:color="auto" w:fill="auto"/>
      </w:rPr>
      <w:tblPr/>
      <w:tcPr>
        <w:tcBorders>
          <w:top w:val="double" w:sz="4" w:space="0" w:color="5B9BD5" w:themeColor="accent1"/>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1"/>
    <w:uiPriority w:val="4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shd w:val="clear" w:color="auto" w:fill="auto"/>
      </w:rPr>
      <w:tblPr/>
      <w:tcPr>
        <w:shd w:val="clear" w:color="000000" w:fill="ED7D31" w:themeFill="accent2"/>
      </w:tcPr>
    </w:tblStylePr>
    <w:tblStylePr w:type="lastRow">
      <w:rPr>
        <w:b/>
        <w:shd w:val="clear" w:color="auto" w:fill="auto"/>
      </w:rPr>
      <w:tblPr/>
      <w:tcPr>
        <w:tcBorders>
          <w:top w:val="double" w:sz="4" w:space="0" w:color="ED7D31" w:themeColor="accent2"/>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1"/>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shd w:val="clear" w:color="auto" w:fill="auto"/>
      </w:rPr>
      <w:tblPr/>
      <w:tcPr>
        <w:shd w:val="clear" w:color="000000" w:fill="A5A5A5" w:themeFill="accent3"/>
      </w:tcPr>
    </w:tblStylePr>
    <w:tblStylePr w:type="lastRow">
      <w:rPr>
        <w:b/>
        <w:shd w:val="clear" w:color="auto" w:fill="auto"/>
      </w:rPr>
      <w:tblPr/>
      <w:tcPr>
        <w:tcBorders>
          <w:top w:val="double" w:sz="4" w:space="0" w:color="A5A5A5" w:themeColor="accent3"/>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1"/>
    <w:uiPriority w:val="4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shd w:val="clear" w:color="auto" w:fill="auto"/>
      </w:rPr>
      <w:tblPr/>
      <w:tcPr>
        <w:shd w:val="clear" w:color="000000" w:fill="FFC000" w:themeFill="accent4"/>
      </w:tcPr>
    </w:tblStylePr>
    <w:tblStylePr w:type="lastRow">
      <w:rPr>
        <w:b/>
        <w:shd w:val="clear" w:color="auto" w:fill="auto"/>
      </w:rPr>
      <w:tblPr/>
      <w:tcPr>
        <w:tcBorders>
          <w:top w:val="double" w:sz="4" w:space="0" w:color="FFC000" w:themeColor="accent4"/>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1"/>
    <w:uiPriority w:val="4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shd w:val="clear" w:color="auto" w:fill="auto"/>
      </w:rPr>
      <w:tblPr/>
      <w:tcPr>
        <w:shd w:val="clear" w:color="000000" w:fill="4472C4" w:themeFill="accent5"/>
      </w:tcPr>
    </w:tblStylePr>
    <w:tblStylePr w:type="lastRow">
      <w:rPr>
        <w:b/>
        <w:shd w:val="clear" w:color="auto" w:fill="auto"/>
      </w:rPr>
      <w:tblPr/>
      <w:tcPr>
        <w:tcBorders>
          <w:top w:val="double" w:sz="4" w:space="0" w:color="4472C4" w:themeColor="accent5"/>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1"/>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shd w:val="clear" w:color="auto" w:fill="auto"/>
      </w:rPr>
      <w:tblPr/>
      <w:tcPr>
        <w:shd w:val="clear" w:color="000000" w:fill="70AD47" w:themeFill="accent6"/>
      </w:tcPr>
    </w:tblStylePr>
    <w:tblStylePr w:type="lastRow">
      <w:rPr>
        <w:b/>
        <w:shd w:val="clear" w:color="auto" w:fill="auto"/>
      </w:rPr>
      <w:tblPr/>
      <w:tcPr>
        <w:tcBorders>
          <w:top w:val="double" w:sz="4" w:space="0" w:color="70AD47" w:themeColor="accent6"/>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1">
    <w:name w:val="List Table 4"/>
    <w:basedOn w:val="a1"/>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0">
    <w:name w:val="List Table 4 Accent 1"/>
    <w:basedOn w:val="a1"/>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shd w:val="clear" w:color="auto" w:fill="auto"/>
      </w:rPr>
      <w:tblPr/>
      <w:tcPr>
        <w:tcBorders>
          <w:top w:val="doub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4-20">
    <w:name w:val="List Table 4 Accent 2"/>
    <w:basedOn w:val="a1"/>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shd w:val="clear" w:color="auto" w:fill="auto"/>
      </w:rPr>
      <w:tblPr/>
      <w:tcPr>
        <w:tcBorders>
          <w:top w:val="doub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4-30">
    <w:name w:val="List Table 4 Accent 3"/>
    <w:basedOn w:val="a1"/>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shd w:val="clear" w:color="auto" w:fill="auto"/>
      </w:rPr>
      <w:tblPr/>
      <w:tcPr>
        <w:tcBorders>
          <w:top w:val="doub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4-40">
    <w:name w:val="List Table 4 Accent 4"/>
    <w:basedOn w:val="a1"/>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shd w:val="clear" w:color="auto" w:fill="auto"/>
      </w:rPr>
      <w:tblPr/>
      <w:tcPr>
        <w:tcBorders>
          <w:top w:val="doub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4-50">
    <w:name w:val="List Table 4 Accent 5"/>
    <w:basedOn w:val="a1"/>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shd w:val="clear" w:color="auto" w:fill="auto"/>
      </w:rPr>
      <w:tblPr/>
      <w:tcPr>
        <w:tcBorders>
          <w:top w:val="doub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4-60">
    <w:name w:val="List Table 4 Accent 6"/>
    <w:basedOn w:val="a1"/>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shd w:val="clear" w:color="auto" w:fill="auto"/>
      </w:rPr>
      <w:tblPr/>
      <w:tcPr>
        <w:tcBorders>
          <w:top w:val="doub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basedOn w:val="a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000000"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000000" w:fill="5B9BD5"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000000" w:fill="ED7D31"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000000" w:fill="A5A5A5"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000000" w:fill="FFC000"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000000" w:fill="4472C4"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000000" w:fill="70AD47"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0">
    <w:name w:val="List Table 6 Colorful Accent 1"/>
    <w:basedOn w:val="a1"/>
    <w:uiPriority w:val="51"/>
    <w:pPr>
      <w:spacing w:after="0" w:line="240" w:lineRule="auto"/>
    </w:pPr>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shd w:val="clear" w:color="auto" w:fill="auto"/>
      </w:rPr>
      <w:tblPr/>
      <w:tcPr>
        <w:tcBorders>
          <w:bottom w:val="single" w:sz="4" w:space="0" w:color="5B9BD5" w:themeColor="accent1"/>
        </w:tcBorders>
      </w:tcPr>
    </w:tblStylePr>
    <w:tblStylePr w:type="lastRow">
      <w:rPr>
        <w:b/>
        <w:shd w:val="clear" w:color="auto" w:fill="auto"/>
      </w:rPr>
      <w:tblPr/>
      <w:tcPr>
        <w:tcBorders>
          <w:top w:val="double" w:sz="4" w:space="0" w:color="5B9BD5"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styleId="6-20">
    <w:name w:val="List Table 6 Colorful Accent 2"/>
    <w:basedOn w:val="a1"/>
    <w:uiPriority w:val="51"/>
    <w:pPr>
      <w:spacing w:after="0" w:line="240" w:lineRule="auto"/>
    </w:pPr>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shd w:val="clear" w:color="auto" w:fill="auto"/>
      </w:rPr>
      <w:tblPr/>
      <w:tcPr>
        <w:tcBorders>
          <w:bottom w:val="single" w:sz="4" w:space="0" w:color="ED7D31" w:themeColor="accent2"/>
        </w:tcBorders>
      </w:tcPr>
    </w:tblStylePr>
    <w:tblStylePr w:type="lastRow">
      <w:rPr>
        <w:b/>
        <w:shd w:val="clear" w:color="auto" w:fill="auto"/>
      </w:rPr>
      <w:tblPr/>
      <w:tcPr>
        <w:tcBorders>
          <w:top w:val="double" w:sz="4" w:space="0" w:color="ED7D31"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styleId="6-30">
    <w:name w:val="List Table 6 Colorful Accent 3"/>
    <w:basedOn w:val="a1"/>
    <w:uiPriority w:val="51"/>
    <w:pPr>
      <w:spacing w:after="0" w:line="240" w:lineRule="auto"/>
    </w:pPr>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shd w:val="clear" w:color="auto" w:fill="auto"/>
      </w:rPr>
      <w:tblPr/>
      <w:tcPr>
        <w:tcBorders>
          <w:bottom w:val="single" w:sz="4" w:space="0" w:color="A5A5A5" w:themeColor="accent3"/>
        </w:tcBorders>
      </w:tcPr>
    </w:tblStylePr>
    <w:tblStylePr w:type="lastRow">
      <w:rPr>
        <w:b/>
        <w:shd w:val="clear" w:color="auto" w:fill="auto"/>
      </w:rPr>
      <w:tblPr/>
      <w:tcPr>
        <w:tcBorders>
          <w:top w:val="double" w:sz="4" w:space="0" w:color="A5A5A5"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styleId="6-40">
    <w:name w:val="List Table 6 Colorful Accent 4"/>
    <w:basedOn w:val="a1"/>
    <w:uiPriority w:val="51"/>
    <w:pPr>
      <w:spacing w:after="0" w:line="240" w:lineRule="auto"/>
    </w:pPr>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shd w:val="clear" w:color="auto" w:fill="auto"/>
      </w:rPr>
      <w:tblPr/>
      <w:tcPr>
        <w:tcBorders>
          <w:bottom w:val="single" w:sz="4" w:space="0" w:color="FFC000" w:themeColor="accent4"/>
        </w:tcBorders>
      </w:tcPr>
    </w:tblStylePr>
    <w:tblStylePr w:type="lastRow">
      <w:rPr>
        <w:b/>
        <w:shd w:val="clear" w:color="auto" w:fill="auto"/>
      </w:rPr>
      <w:tblPr/>
      <w:tcPr>
        <w:tcBorders>
          <w:top w:val="double" w:sz="4" w:space="0" w:color="FFC000"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styleId="6-50">
    <w:name w:val="List Table 6 Colorful Accent 5"/>
    <w:basedOn w:val="a1"/>
    <w:uiPriority w:val="51"/>
    <w:pPr>
      <w:spacing w:after="0" w:line="240" w:lineRule="auto"/>
    </w:pPr>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shd w:val="clear" w:color="auto" w:fill="auto"/>
      </w:rPr>
      <w:tblPr/>
      <w:tcPr>
        <w:tcBorders>
          <w:bottom w:val="single" w:sz="4" w:space="0" w:color="4472C4" w:themeColor="accent5"/>
        </w:tcBorders>
      </w:tcPr>
    </w:tblStylePr>
    <w:tblStylePr w:type="lastRow">
      <w:rPr>
        <w:b/>
        <w:shd w:val="clear" w:color="auto" w:fill="auto"/>
      </w:rPr>
      <w:tblPr/>
      <w:tcPr>
        <w:tcBorders>
          <w:top w:val="double" w:sz="4" w:space="0" w:color="4472C4"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styleId="6-60">
    <w:name w:val="List Table 6 Colorful Accent 6"/>
    <w:basedOn w:val="a1"/>
    <w:uiPriority w:val="51"/>
    <w:pPr>
      <w:spacing w:after="0" w:line="240" w:lineRule="auto"/>
    </w:pPr>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shd w:val="clear" w:color="auto" w:fill="auto"/>
      </w:rPr>
      <w:tblPr/>
      <w:tcPr>
        <w:tcBorders>
          <w:bottom w:val="single" w:sz="4" w:space="0" w:color="70AD47" w:themeColor="accent6"/>
        </w:tcBorders>
      </w:tcPr>
    </w:tblStylePr>
    <w:tblStylePr w:type="lastRow">
      <w:rPr>
        <w:b/>
        <w:shd w:val="clear" w:color="auto" w:fill="auto"/>
      </w:rPr>
      <w:tblPr/>
      <w:tcPr>
        <w:tcBorders>
          <w:top w:val="double" w:sz="4" w:space="0" w:color="70AD47"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styleId="70">
    <w:name w:val="List Table 7 Colorful"/>
    <w:basedOn w:val="a1"/>
    <w:uiPriority w:val="52"/>
    <w:pPr>
      <w:spacing w:after="0" w:line="240" w:lineRule="auto"/>
    </w:pPr>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000000" w:fill="FFFFFF" w:themeFill="background1"/>
      </w:tcPr>
    </w:tblStylePr>
    <w:tblStylePr w:type="lastRow">
      <w:rPr>
        <w:i/>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000000" w:fill="FFFFFF" w:themeFill="background1"/>
      </w:tcPr>
    </w:tblStylePr>
    <w:tblStylePr w:type="lastCol">
      <w:rPr>
        <w:i/>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pPr>
      <w:spacing w:after="0" w:line="240" w:lineRule="auto"/>
    </w:pPr>
    <w:rPr>
      <w:color w:val="2E74B4" w:themeColor="accent1" w:themeShade="BE"/>
    </w:rPr>
    <w:tblPr>
      <w:tblStyleRowBandSize w:val="1"/>
      <w:tblStyleColBandSize w:val="1"/>
    </w:tblPr>
    <w:tblStylePr w:type="firstRow">
      <w:rPr>
        <w:i/>
        <w:sz w:val="26"/>
        <w:szCs w:val="26"/>
        <w:shd w:val="clear" w:color="auto" w:fill="auto"/>
      </w:rPr>
      <w:tblPr/>
      <w:tcPr>
        <w:tcBorders>
          <w:bottom w:val="single" w:sz="4" w:space="0" w:color="5B9BD5" w:themeColor="accent1"/>
        </w:tcBorders>
        <w:shd w:val="clear" w:color="000000" w:fill="FFFFFF" w:themeFill="background1"/>
      </w:tcPr>
    </w:tblStylePr>
    <w:tblStylePr w:type="lastRow">
      <w:rPr>
        <w:i/>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sz w:val="26"/>
        <w:szCs w:val="26"/>
        <w:shd w:val="clear" w:color="auto" w:fill="auto"/>
      </w:rPr>
      <w:tblPr/>
      <w:tcPr>
        <w:tcBorders>
          <w:right w:val="single" w:sz="4" w:space="0" w:color="5B9BD5" w:themeColor="accent1"/>
        </w:tcBorders>
        <w:shd w:val="clear" w:color="000000" w:fill="FFFFFF" w:themeFill="background1"/>
      </w:tcPr>
    </w:tblStylePr>
    <w:tblStylePr w:type="lastCol">
      <w:rPr>
        <w:i/>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pPr>
      <w:spacing w:after="0" w:line="240" w:lineRule="auto"/>
    </w:pPr>
    <w:rPr>
      <w:color w:val="C35911" w:themeColor="accent2" w:themeShade="BE"/>
    </w:rPr>
    <w:tblPr>
      <w:tblStyleRowBandSize w:val="1"/>
      <w:tblStyleColBandSize w:val="1"/>
    </w:tblPr>
    <w:tblStylePr w:type="firstRow">
      <w:rPr>
        <w:i/>
        <w:sz w:val="26"/>
        <w:szCs w:val="26"/>
        <w:shd w:val="clear" w:color="auto" w:fill="auto"/>
      </w:rPr>
      <w:tblPr/>
      <w:tcPr>
        <w:tcBorders>
          <w:bottom w:val="single" w:sz="4" w:space="0" w:color="ED7D31" w:themeColor="accent2"/>
        </w:tcBorders>
        <w:shd w:val="clear" w:color="000000" w:fill="FFFFFF" w:themeFill="background1"/>
      </w:tcPr>
    </w:tblStylePr>
    <w:tblStylePr w:type="lastRow">
      <w:rPr>
        <w:i/>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sz w:val="26"/>
        <w:szCs w:val="26"/>
        <w:shd w:val="clear" w:color="auto" w:fill="auto"/>
      </w:rPr>
      <w:tblPr/>
      <w:tcPr>
        <w:tcBorders>
          <w:right w:val="single" w:sz="4" w:space="0" w:color="ED7D31" w:themeColor="accent2"/>
        </w:tcBorders>
        <w:shd w:val="clear" w:color="000000" w:fill="FFFFFF" w:themeFill="background1"/>
      </w:tcPr>
    </w:tblStylePr>
    <w:tblStylePr w:type="lastCol">
      <w:rPr>
        <w:i/>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pPr>
      <w:spacing w:after="0" w:line="240" w:lineRule="auto"/>
    </w:pPr>
    <w:rPr>
      <w:color w:val="7A7A7A" w:themeColor="accent3" w:themeShade="BE"/>
    </w:rPr>
    <w:tblPr>
      <w:tblStyleRowBandSize w:val="1"/>
      <w:tblStyleColBandSize w:val="1"/>
    </w:tblPr>
    <w:tblStylePr w:type="firstRow">
      <w:rPr>
        <w:i/>
        <w:sz w:val="26"/>
        <w:szCs w:val="26"/>
        <w:shd w:val="clear" w:color="auto" w:fill="auto"/>
      </w:rPr>
      <w:tblPr/>
      <w:tcPr>
        <w:tcBorders>
          <w:bottom w:val="single" w:sz="4" w:space="0" w:color="A5A5A5" w:themeColor="accent3"/>
        </w:tcBorders>
        <w:shd w:val="clear" w:color="000000" w:fill="FFFFFF" w:themeFill="background1"/>
      </w:tcPr>
    </w:tblStylePr>
    <w:tblStylePr w:type="lastRow">
      <w:rPr>
        <w:i/>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sz w:val="26"/>
        <w:szCs w:val="26"/>
        <w:shd w:val="clear" w:color="auto" w:fill="auto"/>
      </w:rPr>
      <w:tblPr/>
      <w:tcPr>
        <w:tcBorders>
          <w:right w:val="single" w:sz="4" w:space="0" w:color="A5A5A5" w:themeColor="accent3"/>
        </w:tcBorders>
        <w:shd w:val="clear" w:color="000000" w:fill="FFFFFF" w:themeFill="background1"/>
      </w:tcPr>
    </w:tblStylePr>
    <w:tblStylePr w:type="lastCol">
      <w:rPr>
        <w:i/>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pPr>
      <w:spacing w:after="0" w:line="240" w:lineRule="auto"/>
    </w:pPr>
    <w:rPr>
      <w:color w:val="BE8F00" w:themeColor="accent4" w:themeShade="BE"/>
    </w:rPr>
    <w:tblPr>
      <w:tblStyleRowBandSize w:val="1"/>
      <w:tblStyleColBandSize w:val="1"/>
    </w:tblPr>
    <w:tblStylePr w:type="firstRow">
      <w:rPr>
        <w:i/>
        <w:sz w:val="26"/>
        <w:szCs w:val="26"/>
        <w:shd w:val="clear" w:color="auto" w:fill="auto"/>
      </w:rPr>
      <w:tblPr/>
      <w:tcPr>
        <w:tcBorders>
          <w:bottom w:val="single" w:sz="4" w:space="0" w:color="FFC000" w:themeColor="accent4"/>
        </w:tcBorders>
        <w:shd w:val="clear" w:color="000000" w:fill="FFFFFF" w:themeFill="background1"/>
      </w:tcPr>
    </w:tblStylePr>
    <w:tblStylePr w:type="lastRow">
      <w:rPr>
        <w:i/>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sz w:val="26"/>
        <w:szCs w:val="26"/>
        <w:shd w:val="clear" w:color="auto" w:fill="auto"/>
      </w:rPr>
      <w:tblPr/>
      <w:tcPr>
        <w:tcBorders>
          <w:right w:val="single" w:sz="4" w:space="0" w:color="FFC000" w:themeColor="accent4"/>
        </w:tcBorders>
        <w:shd w:val="clear" w:color="000000" w:fill="FFFFFF" w:themeFill="background1"/>
      </w:tcPr>
    </w:tblStylePr>
    <w:tblStylePr w:type="lastCol">
      <w:rPr>
        <w:i/>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pPr>
      <w:spacing w:after="0" w:line="240" w:lineRule="auto"/>
    </w:pPr>
    <w:rPr>
      <w:color w:val="2F5395" w:themeColor="accent5" w:themeShade="BE"/>
    </w:rPr>
    <w:tblPr>
      <w:tblStyleRowBandSize w:val="1"/>
      <w:tblStyleColBandSize w:val="1"/>
    </w:tblPr>
    <w:tblStylePr w:type="firstRow">
      <w:rPr>
        <w:i/>
        <w:sz w:val="26"/>
        <w:szCs w:val="26"/>
        <w:shd w:val="clear" w:color="auto" w:fill="auto"/>
      </w:rPr>
      <w:tblPr/>
      <w:tcPr>
        <w:tcBorders>
          <w:bottom w:val="single" w:sz="4" w:space="0" w:color="4472C4" w:themeColor="accent5"/>
        </w:tcBorders>
        <w:shd w:val="clear" w:color="000000" w:fill="FFFFFF" w:themeFill="background1"/>
      </w:tcPr>
    </w:tblStylePr>
    <w:tblStylePr w:type="lastRow">
      <w:rPr>
        <w:i/>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sz w:val="26"/>
        <w:szCs w:val="26"/>
        <w:shd w:val="clear" w:color="auto" w:fill="auto"/>
      </w:rPr>
      <w:tblPr/>
      <w:tcPr>
        <w:tcBorders>
          <w:right w:val="single" w:sz="4" w:space="0" w:color="4472C4" w:themeColor="accent5"/>
        </w:tcBorders>
        <w:shd w:val="clear" w:color="000000" w:fill="FFFFFF" w:themeFill="background1"/>
      </w:tcPr>
    </w:tblStylePr>
    <w:tblStylePr w:type="lastCol">
      <w:rPr>
        <w:i/>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pPr>
      <w:spacing w:after="0" w:line="240" w:lineRule="auto"/>
    </w:pPr>
    <w:rPr>
      <w:color w:val="538035" w:themeColor="accent6" w:themeShade="BE"/>
    </w:rPr>
    <w:tblPr>
      <w:tblStyleRowBandSize w:val="1"/>
      <w:tblStyleColBandSize w:val="1"/>
    </w:tblPr>
    <w:tblStylePr w:type="firstRow">
      <w:rPr>
        <w:i/>
        <w:sz w:val="26"/>
        <w:szCs w:val="26"/>
        <w:shd w:val="clear" w:color="auto" w:fill="auto"/>
      </w:rPr>
      <w:tblPr/>
      <w:tcPr>
        <w:tcBorders>
          <w:bottom w:val="single" w:sz="4" w:space="0" w:color="70AD47" w:themeColor="accent6"/>
        </w:tcBorders>
        <w:shd w:val="clear" w:color="000000" w:fill="FFFFFF" w:themeFill="background1"/>
      </w:tcPr>
    </w:tblStylePr>
    <w:tblStylePr w:type="lastRow">
      <w:rPr>
        <w:i/>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sz w:val="26"/>
        <w:szCs w:val="26"/>
        <w:shd w:val="clear" w:color="auto" w:fill="auto"/>
      </w:rPr>
      <w:tblPr/>
      <w:tcPr>
        <w:tcBorders>
          <w:right w:val="single" w:sz="4" w:space="0" w:color="70AD47" w:themeColor="accent6"/>
        </w:tcBorders>
        <w:shd w:val="clear" w:color="000000" w:fill="FFFFFF" w:themeFill="background1"/>
      </w:tcPr>
    </w:tblStylePr>
    <w:tblStylePr w:type="lastCol">
      <w:rPr>
        <w:i/>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pPr>
      <w:spacing w:after="0" w:line="240" w:lineRule="auto"/>
      <w:jc w:val="left"/>
    </w:pPr>
    <w:rPr>
      <w:sz w:val="22"/>
      <w:szCs w:val="22"/>
    </w:rPr>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paragraph" w:styleId="a7">
    <w:name w:val="caption"/>
    <w:basedOn w:val="a"/>
    <w:next w:val="a"/>
    <w:uiPriority w:val="35"/>
    <w:semiHidden/>
    <w:unhideWhenUsed/>
    <w:qFormat/>
    <w:rPr>
      <w:b/>
    </w:rPr>
  </w:style>
  <w:style w:type="paragraph" w:styleId="a8">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Pr>
      <w:rFonts w:asciiTheme="majorHAnsi" w:eastAsiaTheme="majorEastAsia" w:hAnsiTheme="majorHAnsi" w:cstheme="majorBidi"/>
      <w:sz w:val="18"/>
      <w:szCs w:val="18"/>
      <w:shd w:val="clear" w:color="auto" w:fill="auto"/>
    </w:rPr>
  </w:style>
  <w:style w:type="paragraph" w:styleId="a9">
    <w:name w:val="header"/>
    <w:basedOn w:val="a"/>
    <w:link w:val="Char0"/>
    <w:unhideWhenUsed/>
    <w:pPr>
      <w:tabs>
        <w:tab w:val="center" w:pos="4513"/>
        <w:tab w:val="right" w:pos="9026"/>
      </w:tabs>
      <w:snapToGrid w:val="0"/>
      <w:spacing w:after="0" w:line="360" w:lineRule="atLeast"/>
      <w:ind w:firstLineChars="100" w:firstLine="100"/>
    </w:pPr>
    <w:rPr>
      <w:rFonts w:ascii="맑은 고딕" w:eastAsia="맑은 고딕" w:hAnsi="맑은 고딕" w:cs="Times New Roman"/>
    </w:rPr>
  </w:style>
  <w:style w:type="character" w:customStyle="1" w:styleId="Char0">
    <w:name w:val="머리글 Char"/>
    <w:basedOn w:val="a0"/>
    <w:link w:val="a9"/>
    <w:rPr>
      <w:rFonts w:ascii="맑은 고딕" w:eastAsia="맑은 고딕" w:hAnsi="맑은 고딕" w:cs="Times New Roman"/>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3764</Characters>
  <Application>Microsoft Office Word</Application>
  <DocSecurity>0</DocSecurity>
  <Lines>121</Lines>
  <Paragraphs>42</Paragraphs>
  <MMClips>0</MMClip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c:creator>
  <cp:lastModifiedBy>김현정</cp:lastModifiedBy>
  <cp:revision>2</cp:revision>
  <dcterms:created xsi:type="dcterms:W3CDTF">2024-06-04T00:59:00Z</dcterms:created>
  <dcterms:modified xsi:type="dcterms:W3CDTF">2024-06-04T00:59:00Z</dcterms:modified>
  <cp:version>10.105.227.52551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886eb078bc2faf3086941ccc1f710d6083b8594ccd6ceb0dc8766fca0c18f94a</vt:lpwstr>
  </property>
</Properties>
</file>